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ms-word.document.macroEnabled.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50"/>
        <w:ind w:left="110"/>
        <w:rPr>
          <w:sz w:val="27"/>
        </w:rPr>
      </w:pPr>
      <w:bookmarkStart w:id="0" w:name="_Toc13783"/>
      <w:bookmarkStart w:id="1" w:name="_Toc21522"/>
      <w:bookmarkStart w:id="2" w:name="_Toc1716"/>
    </w:p>
    <w:p>
      <w:pPr>
        <w:pStyle w:val="6"/>
        <w:ind w:left="111" w:firstLine="7068" w:firstLineChars="2200"/>
        <w:jc w:val="left"/>
        <w:outlineLvl w:val="0"/>
        <w:rPr>
          <w:sz w:val="20"/>
        </w:rPr>
      </w:pPr>
      <w:bookmarkStart w:id="3" w:name="_Toc16995"/>
      <w:bookmarkStart w:id="4" w:name="_Toc25153"/>
      <w:bookmarkStart w:id="5" w:name="_Toc2981"/>
      <w:bookmarkStart w:id="6" w:name="_Toc4353"/>
      <w:bookmarkStart w:id="7" w:name="_Toc28162"/>
      <w:bookmarkStart w:id="8" w:name="_Toc9033"/>
      <w:r>
        <w:rPr>
          <w:rFonts w:hint="eastAsia" w:ascii="仿宋_GB2312" w:eastAsia="仿宋_GB2312"/>
        </w:rPr>
        <w:t>编号：</w:t>
      </w:r>
      <w:bookmarkEnd w:id="3"/>
      <w:bookmarkEnd w:id="4"/>
      <w:bookmarkEnd w:id="5"/>
      <w:bookmarkEnd w:id="6"/>
      <w:bookmarkEnd w:id="7"/>
      <w:bookmarkEnd w:id="8"/>
    </w:p>
    <w:p>
      <w:pPr>
        <w:pStyle w:val="11"/>
        <w:rPr>
          <w:sz w:val="20"/>
        </w:rPr>
      </w:pPr>
    </w:p>
    <w:p>
      <w:pPr>
        <w:pStyle w:val="11"/>
        <w:spacing w:before="10"/>
        <w:rPr>
          <w:sz w:val="21"/>
        </w:rPr>
      </w:pPr>
    </w:p>
    <w:p>
      <w:pPr>
        <w:pStyle w:val="5"/>
        <w:bidi w:val="0"/>
        <w:jc w:val="center"/>
        <w:rPr>
          <w:rFonts w:hint="eastAsia"/>
          <w:lang w:val="en-US" w:eastAsia="zh-CN"/>
        </w:rPr>
      </w:pPr>
      <w:bookmarkStart w:id="9" w:name="_Toc26447"/>
      <w:bookmarkStart w:id="10" w:name="_Toc24040"/>
      <w:bookmarkStart w:id="11" w:name="_Toc27953"/>
      <w:bookmarkStart w:id="12" w:name="_Toc22707"/>
      <w:bookmarkStart w:id="13" w:name="_Toc6826"/>
      <w:bookmarkStart w:id="14" w:name="_Toc15738"/>
      <w:bookmarkStart w:id="15" w:name="_Toc13322"/>
      <w:r>
        <w:rPr>
          <w:rFonts w:hint="eastAsia" w:ascii="方正仿宋_GB2312" w:hAnsi="方正仿宋_GB2312" w:eastAsia="方正仿宋_GB2312" w:cs="方正仿宋_GB2312"/>
          <w:b w:val="0"/>
          <w:bCs/>
          <w:sz w:val="44"/>
          <w:szCs w:val="44"/>
          <w:lang w:val="en-US" w:eastAsia="zh-CN"/>
        </w:rPr>
        <w:t>保阜高速公路2023年边坡病害治理工程</w:t>
      </w:r>
      <w:bookmarkEnd w:id="9"/>
      <w:bookmarkEnd w:id="10"/>
      <w:bookmarkEnd w:id="11"/>
      <w:bookmarkEnd w:id="12"/>
      <w:bookmarkEnd w:id="13"/>
      <w:bookmarkEnd w:id="14"/>
      <w:bookmarkEnd w:id="15"/>
    </w:p>
    <w:p>
      <w:pPr>
        <w:spacing w:before="205"/>
        <w:ind w:right="491"/>
        <w:jc w:val="center"/>
        <w:rPr>
          <w:sz w:val="52"/>
        </w:rPr>
      </w:pPr>
      <w:r>
        <w:rPr>
          <w:rFonts w:hint="eastAsia" w:ascii="方正仿宋_GB2312" w:hAnsi="方正仿宋_GB2312" w:eastAsia="方正仿宋_GB2312" w:cs="方正仿宋_GB2312"/>
          <w:sz w:val="52"/>
          <w:lang w:val="en-US" w:eastAsia="zh-CN"/>
        </w:rPr>
        <w:t xml:space="preserve"> </w:t>
      </w:r>
      <w:r>
        <w:rPr>
          <w:rFonts w:hint="eastAsia" w:ascii="方正仿宋_GB2312" w:hAnsi="方正仿宋_GB2312" w:eastAsia="方正仿宋_GB2312" w:cs="方正仿宋_GB2312"/>
          <w:sz w:val="52"/>
        </w:rPr>
        <w:t>施工组织设计</w:t>
      </w:r>
    </w:p>
    <w:p>
      <w:pPr>
        <w:pStyle w:val="11"/>
        <w:rPr>
          <w:sz w:val="52"/>
        </w:rPr>
      </w:pPr>
    </w:p>
    <w:p>
      <w:pPr>
        <w:pStyle w:val="11"/>
        <w:spacing w:before="3"/>
        <w:rPr>
          <w:sz w:val="40"/>
        </w:rPr>
      </w:pPr>
    </w:p>
    <w:p>
      <w:pPr>
        <w:spacing w:before="1" w:line="278" w:lineRule="auto"/>
        <w:ind w:left="4018" w:right="4509"/>
        <w:jc w:val="center"/>
        <w:rPr>
          <w:sz w:val="21"/>
        </w:rPr>
      </w:pPr>
      <w:r>
        <w:rPr>
          <w:rFonts w:hint="eastAsia"/>
          <w:sz w:val="21"/>
          <w:lang w:val="en-US"/>
        </w:rPr>
        <w:drawing>
          <wp:anchor distT="0" distB="0" distL="114300" distR="114300" simplePos="0" relativeHeight="251679744" behindDoc="0" locked="0" layoutInCell="1" allowOverlap="1">
            <wp:simplePos x="0" y="0"/>
            <wp:positionH relativeFrom="column">
              <wp:align>center</wp:align>
            </wp:positionH>
            <wp:positionV relativeFrom="paragraph">
              <wp:posOffset>17780</wp:posOffset>
            </wp:positionV>
            <wp:extent cx="1149350" cy="956945"/>
            <wp:effectExtent l="0" t="0" r="12700" b="14605"/>
            <wp:wrapTopAndBottom/>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11"/>
                    <a:stretch>
                      <a:fillRect/>
                    </a:stretch>
                  </pic:blipFill>
                  <pic:spPr>
                    <a:xfrm>
                      <a:off x="0" y="0"/>
                      <a:ext cx="1149350" cy="956945"/>
                    </a:xfrm>
                    <a:prstGeom prst="rect">
                      <a:avLst/>
                    </a:prstGeom>
                  </pic:spPr>
                </pic:pic>
              </a:graphicData>
            </a:graphic>
          </wp:anchor>
        </w:drawing>
      </w:r>
    </w:p>
    <w:p>
      <w:pPr>
        <w:pStyle w:val="11"/>
        <w:rPr>
          <w:sz w:val="20"/>
        </w:rPr>
      </w:pPr>
    </w:p>
    <w:p>
      <w:pPr>
        <w:pStyle w:val="11"/>
        <w:rPr>
          <w:sz w:val="20"/>
        </w:rPr>
      </w:pPr>
    </w:p>
    <w:p>
      <w:pPr>
        <w:pStyle w:val="11"/>
        <w:rPr>
          <w:sz w:val="20"/>
        </w:rPr>
      </w:pPr>
    </w:p>
    <w:p>
      <w:pPr>
        <w:pStyle w:val="11"/>
        <w:rPr>
          <w:sz w:val="20"/>
        </w:rPr>
      </w:pPr>
    </w:p>
    <w:p>
      <w:pPr>
        <w:ind w:firstLine="2520" w:firstLineChars="700"/>
        <w:rPr>
          <w:rFonts w:eastAsia="宋体"/>
          <w:sz w:val="36"/>
          <w:lang w:val="en-US"/>
        </w:rPr>
      </w:pPr>
      <w:r>
        <w:rPr>
          <w:rFonts w:hint="eastAsia" w:ascii="方正仿宋_GB2312" w:hAnsi="方正仿宋_GB2312" w:eastAsia="方正仿宋_GB2312" w:cs="方正仿宋_GB2312"/>
          <w:sz w:val="36"/>
          <w:lang w:val="en-US" w:eastAsia="zh-CN"/>
        </w:rPr>
        <w:t>太行</w:t>
      </w:r>
      <w:r>
        <w:rPr>
          <w:rFonts w:hint="eastAsia" w:ascii="方正仿宋_GB2312" w:hAnsi="方正仿宋_GB2312" w:eastAsia="方正仿宋_GB2312" w:cs="方正仿宋_GB2312"/>
          <w:sz w:val="36"/>
          <w:lang w:val="en-US"/>
        </w:rPr>
        <w:t>城乡建设</w:t>
      </w:r>
      <w:r>
        <w:rPr>
          <w:rFonts w:hint="eastAsia" w:ascii="方正仿宋_GB2312" w:hAnsi="方正仿宋_GB2312" w:eastAsia="方正仿宋_GB2312" w:cs="方正仿宋_GB2312"/>
          <w:sz w:val="36"/>
          <w:lang w:val="en-US" w:eastAsia="zh-CN"/>
        </w:rPr>
        <w:t>集团</w:t>
      </w:r>
      <w:r>
        <w:rPr>
          <w:rFonts w:hint="eastAsia" w:ascii="方正仿宋_GB2312" w:hAnsi="方正仿宋_GB2312" w:eastAsia="方正仿宋_GB2312" w:cs="方正仿宋_GB2312"/>
          <w:sz w:val="36"/>
          <w:lang w:val="en-US"/>
        </w:rPr>
        <w:t>有限公司</w:t>
      </w:r>
    </w:p>
    <w:p>
      <w:pPr>
        <w:ind w:firstLine="2160" w:firstLineChars="6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河北交投路桥建设开发有限公司</w:t>
      </w:r>
    </w:p>
    <w:p>
      <w:pPr>
        <w:ind w:firstLine="1080" w:firstLineChars="3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河北交投路桥建设开发有限公司保阜高速公路</w:t>
      </w:r>
    </w:p>
    <w:p>
      <w:pPr>
        <w:ind w:firstLine="2160" w:firstLineChars="600"/>
        <w:rPr>
          <w:rFonts w:hint="eastAsia" w:ascii="方正仿宋_GB2312" w:hAnsi="方正仿宋_GB2312" w:eastAsia="方正仿宋_GB2312" w:cs="方正仿宋_GB2312"/>
          <w:sz w:val="44"/>
          <w:szCs w:val="44"/>
        </w:rPr>
      </w:pPr>
      <w:r>
        <w:rPr>
          <w:rFonts w:hint="eastAsia" w:ascii="方正仿宋_GB2312" w:hAnsi="方正仿宋_GB2312" w:eastAsia="方正仿宋_GB2312" w:cs="方正仿宋_GB2312"/>
          <w:sz w:val="36"/>
          <w:lang w:val="en-US" w:eastAsia="zh-CN"/>
        </w:rPr>
        <w:t>2023年边坡病害治理工程项目部</w:t>
      </w:r>
    </w:p>
    <w:p>
      <w:pPr>
        <w:ind w:firstLine="2160" w:firstLineChars="6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szCs w:val="36"/>
          <w:lang w:val="en-US" w:eastAsia="zh-CN"/>
        </w:rPr>
        <w:t xml:space="preserve">      </w:t>
      </w:r>
      <w:r>
        <w:rPr>
          <w:rFonts w:hint="eastAsia" w:ascii="方正仿宋_GB2312" w:hAnsi="方正仿宋_GB2312" w:eastAsia="方正仿宋_GB2312" w:cs="方正仿宋_GB2312"/>
          <w:sz w:val="36"/>
          <w:lang w:val="en-US" w:eastAsia="zh-CN"/>
        </w:rPr>
        <w:t>二〇二三年八月</w:t>
      </w:r>
    </w:p>
    <w:p>
      <w:pPr>
        <w:ind w:firstLine="2160" w:firstLineChars="600"/>
        <w:rPr>
          <w:rFonts w:hint="eastAsia" w:ascii="方正仿宋_GB2312" w:hAnsi="方正仿宋_GB2312" w:eastAsia="方正仿宋_GB2312" w:cs="方正仿宋_GB2312"/>
          <w:sz w:val="36"/>
          <w:lang w:val="en-US" w:eastAsia="zh-CN"/>
        </w:rPr>
        <w:sectPr>
          <w:headerReference r:id="rId5" w:type="first"/>
          <w:footerReference r:id="rId7" w:type="first"/>
          <w:headerReference r:id="rId3" w:type="default"/>
          <w:headerReference r:id="rId4" w:type="even"/>
          <w:footerReference r:id="rId6" w:type="even"/>
          <w:pgSz w:w="11905" w:h="16838"/>
          <w:pgMar w:top="1417" w:right="1531" w:bottom="1417" w:left="1531" w:header="992" w:footer="992" w:gutter="0"/>
          <w:pgBorders>
            <w:top w:val="none" w:sz="0" w:space="0"/>
            <w:left w:val="none" w:sz="0" w:space="0"/>
            <w:bottom w:val="none" w:sz="0" w:space="0"/>
            <w:right w:val="none" w:sz="0" w:space="0"/>
          </w:pgBorders>
          <w:pgNumType w:fmt="decimal"/>
          <w:cols w:space="0" w:num="1"/>
          <w:docGrid w:type="lines" w:linePitch="318" w:charSpace="0"/>
        </w:sectPr>
      </w:pPr>
    </w:p>
    <w:p>
      <w:pPr>
        <w:pStyle w:val="5"/>
        <w:bidi w:val="0"/>
        <w:jc w:val="center"/>
        <w:rPr>
          <w:rFonts w:hint="eastAsia"/>
          <w:lang w:val="en-US" w:eastAsia="zh-CN"/>
        </w:rPr>
      </w:pPr>
      <w:bookmarkStart w:id="16" w:name="_Toc6740"/>
      <w:bookmarkStart w:id="17" w:name="_Toc14198"/>
      <w:bookmarkStart w:id="18" w:name="_Toc3943"/>
      <w:bookmarkStart w:id="19" w:name="_Toc2459"/>
      <w:bookmarkStart w:id="20" w:name="_Toc13424"/>
      <w:bookmarkStart w:id="21" w:name="_Toc15962"/>
      <w:bookmarkStart w:id="22" w:name="_Toc17196"/>
      <w:r>
        <w:rPr>
          <w:rFonts w:hint="eastAsia" w:ascii="方正仿宋_GB2312" w:hAnsi="方正仿宋_GB2312" w:eastAsia="方正仿宋_GB2312" w:cs="方正仿宋_GB2312"/>
          <w:b w:val="0"/>
          <w:bCs/>
          <w:sz w:val="44"/>
          <w:szCs w:val="44"/>
          <w:lang w:val="en-US" w:eastAsia="zh-CN"/>
        </w:rPr>
        <w:t>保阜高速公路2023年边坡病害治理工程</w:t>
      </w:r>
      <w:bookmarkEnd w:id="0"/>
      <w:bookmarkEnd w:id="1"/>
      <w:bookmarkEnd w:id="2"/>
      <w:bookmarkEnd w:id="16"/>
      <w:bookmarkEnd w:id="17"/>
      <w:bookmarkEnd w:id="18"/>
      <w:bookmarkEnd w:id="19"/>
      <w:bookmarkEnd w:id="20"/>
      <w:bookmarkEnd w:id="21"/>
      <w:bookmarkEnd w:id="22"/>
    </w:p>
    <w:p>
      <w:pPr>
        <w:pStyle w:val="5"/>
        <w:bidi w:val="0"/>
        <w:jc w:val="center"/>
        <w:rPr>
          <w:rFonts w:hint="eastAsia"/>
          <w:sz w:val="84"/>
          <w:szCs w:val="84"/>
          <w:lang w:val="en-US" w:eastAsia="zh-CN"/>
        </w:rPr>
      </w:pPr>
      <w:bookmarkStart w:id="23" w:name="_Toc6214"/>
      <w:bookmarkStart w:id="24" w:name="_Toc31846"/>
      <w:bookmarkStart w:id="25" w:name="_Toc26733"/>
      <w:bookmarkStart w:id="26" w:name="_Toc21767"/>
      <w:bookmarkStart w:id="27" w:name="_Toc19762"/>
      <w:bookmarkStart w:id="28" w:name="_Toc30537"/>
      <w:bookmarkStart w:id="29" w:name="_Toc28501"/>
      <w:bookmarkStart w:id="30" w:name="_Toc4982"/>
      <w:bookmarkStart w:id="31" w:name="_Toc30873"/>
      <w:bookmarkStart w:id="32" w:name="_Toc17364"/>
      <w:r>
        <w:rPr>
          <w:rFonts w:hint="eastAsia" w:ascii="方正仿宋_GBK" w:hAnsi="方正仿宋_GBK" w:eastAsia="方正仿宋_GBK" w:cs="方正仿宋_GBK"/>
          <w:b w:val="0"/>
          <w:bCs/>
          <w:sz w:val="52"/>
          <w:szCs w:val="52"/>
          <w:lang w:val="en-US" w:eastAsia="zh-CN"/>
        </w:rPr>
        <w:t>施工组织设计</w:t>
      </w:r>
      <w:bookmarkEnd w:id="23"/>
      <w:bookmarkEnd w:id="24"/>
      <w:bookmarkEnd w:id="25"/>
      <w:bookmarkEnd w:id="26"/>
      <w:bookmarkEnd w:id="27"/>
      <w:bookmarkEnd w:id="28"/>
      <w:bookmarkEnd w:id="29"/>
      <w:bookmarkEnd w:id="30"/>
      <w:bookmarkEnd w:id="31"/>
      <w:bookmarkEnd w:id="32"/>
    </w:p>
    <w:p>
      <w:pPr>
        <w:rPr>
          <w:rFonts w:hint="eastAsia"/>
          <w:sz w:val="36"/>
          <w:szCs w:val="36"/>
          <w:lang w:eastAsia="zh-CN"/>
        </w:rPr>
      </w:pPr>
    </w:p>
    <w:p>
      <w:pPr>
        <w:ind w:firstLine="720" w:firstLineChars="200"/>
        <w:rPr>
          <w:rFonts w:hint="eastAsia"/>
          <w:sz w:val="36"/>
          <w:szCs w:val="36"/>
          <w:lang w:eastAsia="zh-CN"/>
        </w:rPr>
      </w:pPr>
    </w:p>
    <w:p>
      <w:pPr>
        <w:ind w:firstLine="2520" w:firstLineChars="700"/>
        <w:rPr>
          <w:rFonts w:hint="default"/>
          <w:sz w:val="36"/>
          <w:szCs w:val="36"/>
          <w:lang w:val="en-US" w:eastAsia="zh-CN"/>
        </w:rPr>
      </w:pPr>
      <w:r>
        <w:rPr>
          <w:rFonts w:hint="eastAsia" w:ascii="方正仿宋_GB2312" w:hAnsi="方正仿宋_GB2312" w:eastAsia="方正仿宋_GB2312" w:cs="方正仿宋_GB2312"/>
          <w:sz w:val="36"/>
          <w:szCs w:val="36"/>
          <w:lang w:eastAsia="zh-CN"/>
        </w:rPr>
        <w:t>编制：</w:t>
      </w:r>
      <w:r>
        <w:rPr>
          <w:rFonts w:hint="eastAsia" w:ascii="方正仿宋_GB2312" w:hAnsi="方正仿宋_GB2312" w:eastAsia="方正仿宋_GB2312" w:cs="方正仿宋_GB2312"/>
          <w:sz w:val="36"/>
          <w:szCs w:val="36"/>
          <w:u w:val="single"/>
          <w:lang w:val="en-US" w:eastAsia="zh-CN"/>
        </w:rPr>
        <w:t xml:space="preserve">              </w:t>
      </w:r>
    </w:p>
    <w:p>
      <w:pPr>
        <w:rPr>
          <w:rFonts w:hint="eastAsia"/>
          <w:sz w:val="36"/>
          <w:szCs w:val="36"/>
          <w:lang w:eastAsia="zh-CN"/>
        </w:rPr>
      </w:pPr>
    </w:p>
    <w:p>
      <w:pPr>
        <w:ind w:firstLine="2520" w:firstLineChars="700"/>
        <w:rPr>
          <w:rFonts w:hint="eastAsia"/>
          <w:sz w:val="36"/>
          <w:szCs w:val="36"/>
          <w:lang w:val="en-US" w:eastAsia="zh-CN"/>
        </w:rPr>
      </w:pPr>
      <w:r>
        <w:rPr>
          <w:rFonts w:hint="eastAsia" w:ascii="方正仿宋_GB2312" w:hAnsi="方正仿宋_GB2312" w:eastAsia="方正仿宋_GB2312" w:cs="方正仿宋_GB2312"/>
          <w:sz w:val="36"/>
          <w:szCs w:val="36"/>
          <w:lang w:eastAsia="zh-CN"/>
        </w:rPr>
        <w:t>审核：</w:t>
      </w:r>
      <w:r>
        <w:rPr>
          <w:rFonts w:hint="eastAsia" w:ascii="方正仿宋_GB2312" w:hAnsi="方正仿宋_GB2312" w:eastAsia="方正仿宋_GB2312" w:cs="方正仿宋_GB2312"/>
          <w:sz w:val="36"/>
          <w:szCs w:val="36"/>
          <w:u w:val="single"/>
          <w:lang w:val="en-US" w:eastAsia="zh-CN"/>
        </w:rPr>
        <w:t xml:space="preserve">              </w:t>
      </w:r>
      <w:r>
        <w:rPr>
          <w:rFonts w:hint="eastAsia" w:ascii="方正仿宋_GB2312" w:hAnsi="方正仿宋_GB2312" w:eastAsia="方正仿宋_GB2312" w:cs="方正仿宋_GB2312"/>
          <w:sz w:val="36"/>
          <w:szCs w:val="36"/>
          <w:lang w:val="en-US" w:eastAsia="zh-CN"/>
        </w:rPr>
        <w:t xml:space="preserve"> </w:t>
      </w:r>
      <w:r>
        <w:rPr>
          <w:rFonts w:hint="eastAsia"/>
          <w:sz w:val="36"/>
          <w:szCs w:val="36"/>
          <w:lang w:val="en-US" w:eastAsia="zh-CN"/>
        </w:rPr>
        <w:t xml:space="preserve"> </w:t>
      </w:r>
    </w:p>
    <w:p>
      <w:pPr>
        <w:ind w:firstLine="720" w:firstLineChars="200"/>
        <w:rPr>
          <w:rFonts w:hint="eastAsia"/>
          <w:sz w:val="36"/>
          <w:szCs w:val="36"/>
          <w:lang w:eastAsia="zh-CN"/>
        </w:rPr>
      </w:pPr>
    </w:p>
    <w:p>
      <w:pPr>
        <w:ind w:firstLine="2520" w:firstLineChars="700"/>
        <w:rPr>
          <w:rFonts w:hint="eastAsia" w:ascii="方正仿宋_GB2312" w:hAnsi="方正仿宋_GB2312" w:eastAsia="方正仿宋_GB2312" w:cs="方正仿宋_GB2312"/>
          <w:sz w:val="36"/>
          <w:szCs w:val="36"/>
          <w:u w:val="single"/>
          <w:lang w:val="en-US" w:eastAsia="zh-CN"/>
        </w:rPr>
      </w:pPr>
      <w:r>
        <w:rPr>
          <w:rFonts w:hint="eastAsia" w:ascii="方正仿宋_GB2312" w:hAnsi="方正仿宋_GB2312" w:eastAsia="方正仿宋_GB2312" w:cs="方正仿宋_GB2312"/>
          <w:sz w:val="36"/>
          <w:szCs w:val="36"/>
          <w:lang w:eastAsia="zh-CN"/>
        </w:rPr>
        <w:t>审批：</w:t>
      </w:r>
      <w:r>
        <w:rPr>
          <w:rFonts w:hint="eastAsia" w:ascii="方正仿宋_GB2312" w:hAnsi="方正仿宋_GB2312" w:eastAsia="方正仿宋_GB2312" w:cs="方正仿宋_GB2312"/>
          <w:sz w:val="36"/>
          <w:szCs w:val="36"/>
          <w:u w:val="single"/>
          <w:lang w:val="en-US" w:eastAsia="zh-CN"/>
        </w:rPr>
        <w:t xml:space="preserve">              </w:t>
      </w:r>
    </w:p>
    <w:p>
      <w:pPr>
        <w:ind w:firstLine="720" w:firstLineChars="200"/>
        <w:rPr>
          <w:rFonts w:hint="eastAsia" w:ascii="方正仿宋_GB2312" w:hAnsi="方正仿宋_GB2312" w:eastAsia="方正仿宋_GB2312" w:cs="方正仿宋_GB2312"/>
          <w:sz w:val="36"/>
          <w:szCs w:val="36"/>
          <w:lang w:val="en-US" w:eastAsia="zh-CN"/>
        </w:rPr>
      </w:pPr>
      <w:r>
        <w:rPr>
          <w:rFonts w:hint="eastAsia" w:ascii="方正仿宋_GB2312" w:hAnsi="方正仿宋_GB2312" w:eastAsia="方正仿宋_GB2312" w:cs="方正仿宋_GB2312"/>
          <w:sz w:val="36"/>
          <w:szCs w:val="36"/>
          <w:lang w:val="en-US" w:eastAsia="zh-CN"/>
        </w:rPr>
        <w:t xml:space="preserve"> </w:t>
      </w:r>
    </w:p>
    <w:p>
      <w:pPr>
        <w:ind w:firstLine="720" w:firstLineChars="200"/>
        <w:rPr>
          <w:rFonts w:hint="eastAsia" w:ascii="方正仿宋_GB2312" w:hAnsi="方正仿宋_GB2312" w:eastAsia="方正仿宋_GB2312" w:cs="方正仿宋_GB2312"/>
          <w:sz w:val="36"/>
          <w:szCs w:val="36"/>
          <w:lang w:val="en-US" w:eastAsia="zh-CN"/>
        </w:rPr>
      </w:pPr>
    </w:p>
    <w:p>
      <w:pPr>
        <w:ind w:firstLine="720" w:firstLineChars="200"/>
        <w:rPr>
          <w:rFonts w:hint="eastAsia" w:ascii="方正仿宋_GB2312" w:hAnsi="方正仿宋_GB2312" w:eastAsia="方正仿宋_GB2312" w:cs="方正仿宋_GB2312"/>
          <w:sz w:val="36"/>
          <w:szCs w:val="36"/>
          <w:lang w:val="en-US" w:eastAsia="zh-CN"/>
        </w:rPr>
      </w:pPr>
    </w:p>
    <w:p>
      <w:pPr>
        <w:ind w:firstLine="720" w:firstLineChars="200"/>
        <w:rPr>
          <w:rFonts w:hint="eastAsia" w:ascii="方正仿宋_GB2312" w:hAnsi="方正仿宋_GB2312" w:eastAsia="方正仿宋_GB2312" w:cs="方正仿宋_GB2312"/>
          <w:sz w:val="36"/>
          <w:szCs w:val="36"/>
          <w:lang w:val="en-US" w:eastAsia="zh-CN"/>
        </w:rPr>
      </w:pPr>
    </w:p>
    <w:p>
      <w:pPr>
        <w:ind w:firstLine="2160" w:firstLineChars="600"/>
        <w:rPr>
          <w:rFonts w:hint="eastAsia" w:ascii="方正仿宋_GB2312" w:hAnsi="方正仿宋_GB2312" w:eastAsia="方正仿宋_GB2312" w:cs="方正仿宋_GB2312"/>
          <w:sz w:val="36"/>
          <w:lang w:val="en-US"/>
        </w:rPr>
      </w:pPr>
      <w:r>
        <w:rPr>
          <w:rFonts w:hint="eastAsia" w:ascii="方正仿宋_GB2312" w:hAnsi="方正仿宋_GB2312" w:eastAsia="方正仿宋_GB2312" w:cs="方正仿宋_GB2312"/>
          <w:sz w:val="36"/>
          <w:lang w:val="en-US" w:eastAsia="zh-CN"/>
        </w:rPr>
        <w:t>太行</w:t>
      </w:r>
      <w:r>
        <w:rPr>
          <w:rFonts w:hint="eastAsia" w:ascii="方正仿宋_GB2312" w:hAnsi="方正仿宋_GB2312" w:eastAsia="方正仿宋_GB2312" w:cs="方正仿宋_GB2312"/>
          <w:sz w:val="36"/>
          <w:lang w:val="en-US"/>
        </w:rPr>
        <w:t>城乡建设</w:t>
      </w:r>
      <w:r>
        <w:rPr>
          <w:rFonts w:hint="eastAsia" w:ascii="方正仿宋_GB2312" w:hAnsi="方正仿宋_GB2312" w:eastAsia="方正仿宋_GB2312" w:cs="方正仿宋_GB2312"/>
          <w:sz w:val="36"/>
          <w:lang w:val="en-US" w:eastAsia="zh-CN"/>
        </w:rPr>
        <w:t>集团</w:t>
      </w:r>
      <w:r>
        <w:rPr>
          <w:rFonts w:hint="eastAsia" w:ascii="方正仿宋_GB2312" w:hAnsi="方正仿宋_GB2312" w:eastAsia="方正仿宋_GB2312" w:cs="方正仿宋_GB2312"/>
          <w:sz w:val="36"/>
          <w:lang w:val="en-US"/>
        </w:rPr>
        <w:t>有限公司</w:t>
      </w:r>
    </w:p>
    <w:p>
      <w:pPr>
        <w:ind w:firstLine="1800" w:firstLineChars="5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河北交投路桥建设开发有限公司</w:t>
      </w:r>
    </w:p>
    <w:p>
      <w:pPr>
        <w:ind w:firstLine="720" w:firstLineChars="2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河北交投路桥建设开发有限公司保阜高速公路</w:t>
      </w:r>
    </w:p>
    <w:p>
      <w:pPr>
        <w:ind w:firstLine="1800" w:firstLineChars="5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2023年边坡病害治理工程项目部</w:t>
      </w:r>
    </w:p>
    <w:p>
      <w:pPr>
        <w:ind w:firstLine="3240" w:firstLineChars="900"/>
        <w:jc w:val="both"/>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二O二三年八月</w:t>
      </w:r>
    </w:p>
    <w:p>
      <w:pPr>
        <w:ind w:firstLine="1800" w:firstLineChars="500"/>
        <w:rPr>
          <w:rFonts w:hint="eastAsia" w:ascii="方正仿宋_GB2312" w:hAnsi="方正仿宋_GB2312" w:eastAsia="方正仿宋_GB2312" w:cs="方正仿宋_GB2312"/>
          <w:sz w:val="36"/>
          <w:lang w:val="en-US" w:eastAsia="zh-CN"/>
        </w:rPr>
        <w:sectPr>
          <w:pgSz w:w="11905" w:h="16838"/>
          <w:pgMar w:top="1417" w:right="1531" w:bottom="1417" w:left="1531" w:header="992" w:footer="992" w:gutter="0"/>
          <w:pgBorders>
            <w:top w:val="none" w:sz="0" w:space="0"/>
            <w:left w:val="none" w:sz="0" w:space="0"/>
            <w:bottom w:val="none" w:sz="0" w:space="0"/>
            <w:right w:val="none" w:sz="0" w:space="0"/>
          </w:pgBorders>
          <w:pgNumType w:fmt="decimal"/>
          <w:cols w:space="0" w:num="1"/>
          <w:docGrid w:type="lines" w:linePitch="318" w:charSpace="0"/>
        </w:sectPr>
      </w:pPr>
    </w:p>
    <w:p/>
    <w:sdt>
      <w:sdtPr>
        <w:rPr>
          <w:rFonts w:ascii="宋体" w:hAnsi="宋体" w:eastAsia="宋体" w:cstheme="minorBidi"/>
          <w:kern w:val="2"/>
          <w:sz w:val="21"/>
          <w:szCs w:val="24"/>
          <w:lang w:val="en-US" w:eastAsia="zh-CN" w:bidi="ar-SA"/>
        </w:rPr>
        <w:id w:val="147480801"/>
        <w15:color w:val="DBDBDB"/>
        <w:docPartObj>
          <w:docPartGallery w:val="Table of Contents"/>
          <w:docPartUnique/>
        </w:docPartObj>
      </w:sdtPr>
      <w:sdtEndPr>
        <w:rPr>
          <w:rFonts w:ascii="宋体" w:hAnsi="宋体" w:eastAsia="宋体" w:cstheme="minorBidi"/>
          <w:kern w:val="2"/>
          <w:sz w:val="28"/>
          <w:szCs w:val="28"/>
          <w:lang w:val="en-US" w:eastAsia="zh-CN" w:bidi="ar-SA"/>
        </w:rPr>
      </w:sdtEndPr>
      <w:sdtContent>
        <w:p>
          <w:pPr>
            <w:spacing w:before="0" w:beforeLines="0" w:after="0" w:afterLines="0" w:line="240" w:lineRule="auto"/>
            <w:ind w:left="0" w:leftChars="0" w:right="0" w:rightChars="0" w:firstLine="0" w:firstLineChars="0"/>
            <w:jc w:val="center"/>
            <w:rPr>
              <w:rFonts w:hint="eastAsia" w:ascii="宋体" w:hAnsi="宋体" w:eastAsia="宋体" w:cs="宋体"/>
              <w:b/>
              <w:bCs/>
              <w:sz w:val="28"/>
              <w:szCs w:val="28"/>
            </w:rPr>
          </w:pPr>
          <w:bookmarkStart w:id="33" w:name="_Toc6092"/>
          <w:r>
            <w:rPr>
              <w:rFonts w:hint="eastAsia" w:ascii="宋体" w:hAnsi="宋体" w:eastAsia="宋体" w:cs="宋体"/>
              <w:b/>
              <w:bCs/>
              <w:sz w:val="32"/>
              <w:szCs w:val="32"/>
            </w:rPr>
            <w:t>目录</w:t>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TOC \o "1-9" \h \u </w:instrText>
          </w:r>
          <w:r>
            <w:rPr>
              <w:rFonts w:hint="eastAsia" w:ascii="宋体" w:hAnsi="宋体" w:eastAsia="宋体" w:cs="宋体"/>
              <w:b/>
              <w:bCs/>
              <w:sz w:val="28"/>
              <w:szCs w:val="28"/>
            </w:rPr>
            <w:fldChar w:fldCharType="separate"/>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_Toc12373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1、编制依据及原则</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_Toc12373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_Toc11576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1.1招标文件及图纸</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_Toc11576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_Toc6701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1.2国家及行业现行法律、法规、政策、文件、工程标准规范</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_Toc6701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_Toc21569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1.3编制原则</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_Toc21569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6"/>
            <w:tabs>
              <w:tab w:val="right" w:leader="dot" w:pos="8306"/>
            </w:tabs>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_Toc22325 </w:instrText>
          </w:r>
          <w:r>
            <w:rPr>
              <w:rFonts w:hint="eastAsia" w:ascii="宋体" w:hAnsi="宋体" w:eastAsia="宋体" w:cs="宋体"/>
              <w:b/>
              <w:bCs/>
              <w:sz w:val="28"/>
              <w:szCs w:val="28"/>
            </w:rPr>
            <w:fldChar w:fldCharType="separate"/>
          </w:r>
          <w:r>
            <w:rPr>
              <w:rFonts w:hint="eastAsia" w:ascii="宋体" w:hAnsi="宋体" w:eastAsia="宋体" w:cs="宋体"/>
              <w:b/>
              <w:bCs/>
              <w:spacing w:val="-4"/>
              <w:sz w:val="28"/>
              <w:szCs w:val="28"/>
              <w:lang w:val="en-US" w:eastAsia="zh-CN"/>
            </w:rPr>
            <w:t>2、工程概况</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_Toc22325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_Toc29291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2.1建设地点</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_Toc29291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_Toc31326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2.2项目概述</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_Toc31326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_Toc11036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2.3工程特点、重难点分析及对策</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_Toc11036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_Toc21691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2.3.1工程特点</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_Toc21691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_Toc28990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2.3.2重点、难点分析及对策</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_Toc28990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6"/>
            <w:tabs>
              <w:tab w:val="right" w:leader="dot" w:pos="8306"/>
            </w:tabs>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_Toc17515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3、总体施工组织布置及规划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_Toc17515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_Toc12316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3.1施工目标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_Toc12316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_Toc11658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3.1.1工期目标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_Toc11658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_Toc16942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3.1.2质量目标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_Toc16942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_Toc12841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3.1.3安全目标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_Toc12841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_Toc17923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3.1.4交通保畅目标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_Toc17923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3"/>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_Toc2827 </w:instrText>
          </w:r>
          <w:r>
            <w:rPr>
              <w:rFonts w:hint="eastAsia" w:ascii="宋体" w:hAnsi="宋体" w:eastAsia="宋体" w:cs="宋体"/>
              <w:b/>
              <w:bCs/>
              <w:sz w:val="28"/>
              <w:szCs w:val="28"/>
            </w:rPr>
            <w:fldChar w:fldCharType="separate"/>
          </w:r>
          <w:r>
            <w:rPr>
              <w:rFonts w:hint="eastAsia" w:ascii="宋体" w:hAnsi="宋体" w:eastAsia="宋体" w:cs="宋体"/>
              <w:b/>
              <w:bCs/>
              <w:kern w:val="0"/>
              <w:sz w:val="28"/>
              <w:szCs w:val="28"/>
              <w:lang w:val="en-US" w:eastAsia="zh-CN"/>
            </w:rPr>
            <w:t>3.1.5文明施工目标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_Toc2827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_Toc8449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3.1.6环境保护目标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_Toc8449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_Toc20899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3.1.7职业健康目标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_Toc20899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_Toc21539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3.2组织机构设置</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_Toc21539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_Toc29946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3.3施工区段的划分及队伍部署，劳动力组织及配置计划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_Toc29946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8</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_Toc176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3.3.1施工区段的划分及队伍部署</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_Toc176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8</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_Toc10762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3.3.2劳动力组织及配置计划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_Toc10762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8</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_Toc17144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3.3.3施工机械及测试设备组织及配置计划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_Toc17144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10</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_Toc19922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3.3.4工程用款与施工用电计划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_Toc19922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11</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_Toc3596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3.3.5施工总平面布置</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_Toc3596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11</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6"/>
            <w:tabs>
              <w:tab w:val="right" w:leader="dot" w:pos="8306"/>
            </w:tabs>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_Toc26365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 施工方案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_Toc26365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11</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_Toc5887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4.1现状调查</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_Toc5887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_Toc32618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4.1.1路堑边坡现状</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_Toc32618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_Toc8713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4.1.2路堤边坡现状</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_Toc8713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_Toc5880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4.2具体施工方案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_Toc5880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_Toc4216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4.2.1路堑边坡防护</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_Toc4216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_Toc21825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4.3施工方法及技术措施要求</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_Toc21825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_Toc12076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4.3.1主要材料技术要求</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_Toc12076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_Toc21625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4.3.2施工方法及技术措施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_Toc21625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20</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_Toc25714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4.4交通组织设计要求</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_Toc25714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7"/>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_Toc4268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 xml:space="preserve">5. </w:t>
          </w:r>
          <w:r>
            <w:rPr>
              <w:rFonts w:hint="eastAsia" w:ascii="宋体" w:hAnsi="宋体" w:eastAsia="宋体" w:cs="宋体"/>
              <w:b/>
              <w:bCs/>
              <w:sz w:val="28"/>
              <w:szCs w:val="28"/>
            </w:rPr>
            <w:t>施工进度安排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_Toc4268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7"/>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_Toc12991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w:t>
          </w:r>
          <w:r>
            <w:rPr>
              <w:rFonts w:hint="eastAsia" w:ascii="宋体" w:hAnsi="宋体" w:eastAsia="宋体" w:cs="宋体"/>
              <w:b/>
              <w:bCs/>
              <w:sz w:val="28"/>
              <w:szCs w:val="28"/>
            </w:rPr>
            <w:t>进度、质量、安全、环境等保证体系及措施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_Toc12991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_Toc17265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6.1工期保证体系及保证措施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_Toc17265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_Toc11014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6.1.1工期目标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_Toc11014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_Toc29843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6.1.2工期保证体系</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_Toc29843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24</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_Toc20773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6.1.3工期保证措施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_Toc20773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_Toc13552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6.1.4缺陷责任期内对工程的维护方案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_Toc13552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31</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_Toc20788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6.2质量管理体系及保证措施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_Toc20788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_Toc582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6.2.1质量目标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_Toc582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_Toc21290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6.2.2质量管理体系</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_Toc21290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_Toc16755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6.2.3质量保证措施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_Toc16755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47</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_Toc18388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6.3安全生产管理体系及保证措施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_Toc18388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_Toc4936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6.3.1安全生产方针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_Toc4936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_Toc13429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6.3.2安全目标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_Toc13429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56</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_Toc12864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6.3.3安全生产领导小组及职责</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_Toc12864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56</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_Toc23102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6.3.4安全生产保证体系</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_Toc23102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57</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_Toc25512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6.4环境保护保证体系及保证措施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_Toc25512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82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_Toc4869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6.4.1环境保护目标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_Toc4869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82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_Toc18816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6.4.2设计环保要求</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_Toc18816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82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_Toc17819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6.4.3建立健全环境保护保证体系</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_Toc17819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83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_Toc22288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6.4.4环境保护管理制度</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_Toc22288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84</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8"/>
            <w:tabs>
              <w:tab w:val="right" w:leader="dot" w:pos="8306"/>
            </w:tabs>
            <w:ind w:left="0" w:leftChars="0" w:firstLine="0" w:firstLineChars="0"/>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_Toc23708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val="en-US" w:eastAsia="zh-CN"/>
            </w:rPr>
            <w:t>6.4.5  环境保护具体措施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_Toc23708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86</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rPr>
              <w:sz w:val="28"/>
              <w:szCs w:val="28"/>
            </w:rPr>
          </w:pPr>
          <w:r>
            <w:rPr>
              <w:rFonts w:hint="eastAsia" w:ascii="宋体" w:hAnsi="宋体" w:eastAsia="宋体" w:cs="宋体"/>
              <w:b/>
              <w:bCs/>
              <w:sz w:val="28"/>
              <w:szCs w:val="28"/>
            </w:rPr>
            <w:fldChar w:fldCharType="end"/>
          </w:r>
        </w:p>
        <w:p>
          <w:pPr>
            <w:rPr>
              <w:sz w:val="28"/>
              <w:szCs w:val="28"/>
            </w:rPr>
          </w:pPr>
        </w:p>
      </w:sdtContent>
    </w:sdt>
    <w:p>
      <w:pPr>
        <w:pStyle w:val="10"/>
        <w:bidi w:val="0"/>
        <w:ind w:firstLine="482" w:firstLineChars="200"/>
        <w:outlineLvl w:val="0"/>
        <w:rPr>
          <w:rFonts w:hint="eastAsia"/>
          <w:lang w:val="en-US" w:eastAsia="zh-CN"/>
        </w:rPr>
        <w:sectPr>
          <w:footerReference r:id="rId8" w:type="default"/>
          <w:pgSz w:w="11905" w:h="16838"/>
          <w:pgMar w:top="1417" w:right="1531" w:bottom="1417" w:left="1531" w:header="992" w:footer="992" w:gutter="0"/>
          <w:pgBorders>
            <w:top w:val="none" w:sz="0" w:space="0"/>
            <w:left w:val="none" w:sz="0" w:space="0"/>
            <w:bottom w:val="none" w:sz="0" w:space="0"/>
            <w:right w:val="none" w:sz="0" w:space="0"/>
          </w:pgBorders>
          <w:pgNumType w:fmt="decimal"/>
          <w:cols w:space="0" w:num="1"/>
          <w:rtlGutter w:val="0"/>
          <w:docGrid w:type="lines" w:linePitch="318" w:charSpace="0"/>
        </w:sectPr>
      </w:pPr>
      <w:bookmarkStart w:id="34" w:name="_Toc12373"/>
      <w:bookmarkStart w:id="35" w:name="_Toc22840"/>
    </w:p>
    <w:p>
      <w:pPr>
        <w:pStyle w:val="7"/>
        <w:keepNext/>
        <w:keepLines/>
        <w:pageBreakBefore w:val="0"/>
        <w:widowControl w:val="0"/>
        <w:kinsoku/>
        <w:wordWrap/>
        <w:overflowPunct/>
        <w:topLinePunct w:val="0"/>
        <w:autoSpaceDE/>
        <w:autoSpaceDN/>
        <w:bidi w:val="0"/>
        <w:adjustRightInd/>
        <w:snapToGrid/>
        <w:ind w:left="420" w:leftChars="200" w:right="420" w:rightChars="200"/>
        <w:textAlignment w:val="auto"/>
        <w:rPr>
          <w:rFonts w:hint="eastAsia" w:ascii="宋体" w:hAnsi="宋体" w:eastAsia="宋体" w:cs="宋体"/>
          <w:lang w:val="en-US" w:eastAsia="zh-CN"/>
        </w:rPr>
      </w:pPr>
      <w:r>
        <w:rPr>
          <w:rFonts w:hint="eastAsia" w:ascii="宋体" w:hAnsi="宋体" w:eastAsia="宋体" w:cs="宋体"/>
          <w:sz w:val="28"/>
          <w:szCs w:val="28"/>
          <w:lang w:val="en-US" w:eastAsia="zh-CN"/>
        </w:rPr>
        <w:t>1、编制依据及原则</w:t>
      </w:r>
      <w:bookmarkEnd w:id="33"/>
      <w:bookmarkEnd w:id="34"/>
      <w:bookmarkEnd w:id="35"/>
    </w:p>
    <w:p>
      <w:pPr>
        <w:pStyle w:val="8"/>
        <w:keepNext/>
        <w:keepLines/>
        <w:pageBreakBefore w:val="0"/>
        <w:widowControl w:val="0"/>
        <w:kinsoku/>
        <w:wordWrap/>
        <w:overflowPunct/>
        <w:topLinePunct w:val="0"/>
        <w:autoSpaceDE/>
        <w:autoSpaceDN/>
        <w:bidi w:val="0"/>
        <w:adjustRightInd/>
        <w:snapToGrid/>
        <w:ind w:left="420" w:leftChars="200" w:right="420" w:rightChars="200"/>
        <w:textAlignment w:val="auto"/>
        <w:rPr>
          <w:rFonts w:hint="eastAsia" w:ascii="宋体" w:hAnsi="宋体" w:eastAsia="宋体" w:cs="宋体"/>
          <w:sz w:val="24"/>
          <w:szCs w:val="24"/>
          <w:lang w:val="en-US" w:eastAsia="zh-CN"/>
        </w:rPr>
      </w:pPr>
      <w:bookmarkStart w:id="36" w:name="_Toc8363"/>
      <w:bookmarkStart w:id="37" w:name="_Toc11576"/>
      <w:bookmarkStart w:id="38" w:name="_Toc2909"/>
      <w:bookmarkStart w:id="39" w:name="_Toc22515"/>
      <w:bookmarkStart w:id="40" w:name="_Toc1246"/>
      <w:bookmarkStart w:id="41" w:name="_Toc31129"/>
      <w:bookmarkStart w:id="42" w:name="_Toc5497"/>
      <w:bookmarkStart w:id="43" w:name="_Toc32382"/>
      <w:r>
        <w:rPr>
          <w:rFonts w:hint="eastAsia" w:ascii="宋体" w:hAnsi="宋体" w:eastAsia="宋体" w:cs="宋体"/>
          <w:sz w:val="24"/>
          <w:szCs w:val="24"/>
          <w:lang w:val="en-US" w:eastAsia="zh-CN"/>
        </w:rPr>
        <w:t>1.1招标文件及图纸</w:t>
      </w:r>
      <w:bookmarkEnd w:id="36"/>
      <w:bookmarkEnd w:id="37"/>
      <w:bookmarkEnd w:id="38"/>
      <w:bookmarkEnd w:id="39"/>
      <w:bookmarkEnd w:id="40"/>
      <w:bookmarkEnd w:id="41"/>
      <w:bookmarkEnd w:id="42"/>
      <w:bookmarkEnd w:id="43"/>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44" w:name="_Toc30119"/>
      <w:bookmarkStart w:id="45" w:name="_Toc16607"/>
      <w:bookmarkStart w:id="46" w:name="_Toc30449"/>
      <w:bookmarkStart w:id="47" w:name="_Toc29832"/>
      <w:bookmarkStart w:id="48" w:name="_Toc12844"/>
      <w:bookmarkStart w:id="49" w:name="_Toc32179"/>
      <w:bookmarkStart w:id="50" w:name="_Toc12887"/>
      <w:r>
        <w:rPr>
          <w:rFonts w:hint="eastAsia" w:asciiTheme="minorEastAsia" w:hAnsiTheme="minorEastAsia" w:eastAsiaTheme="minorEastAsia" w:cstheme="minorEastAsia"/>
          <w:spacing w:val="-4"/>
          <w:sz w:val="24"/>
          <w:szCs w:val="24"/>
          <w:lang w:val="en-US" w:eastAsia="zh-CN"/>
        </w:rPr>
        <w:t>（1）河北交投集团保阜等十条(段)高速公路 2023 年养护专项土建工程施工招标文件</w:t>
      </w:r>
      <w:bookmarkEnd w:id="44"/>
      <w:bookmarkEnd w:id="45"/>
      <w:bookmarkEnd w:id="46"/>
      <w:bookmarkEnd w:id="47"/>
      <w:bookmarkEnd w:id="48"/>
      <w:bookmarkEnd w:id="49"/>
      <w:bookmarkEnd w:id="50"/>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2"/>
        <w:rPr>
          <w:rFonts w:hint="eastAsia" w:asciiTheme="minorEastAsia" w:hAnsiTheme="minorEastAsia" w:eastAsiaTheme="minorEastAsia" w:cstheme="minorEastAsia"/>
          <w:spacing w:val="-4"/>
          <w:sz w:val="24"/>
          <w:szCs w:val="24"/>
          <w:lang w:val="en-US" w:eastAsia="zh-CN"/>
        </w:rPr>
      </w:pPr>
      <w:bookmarkStart w:id="51" w:name="_Toc13111"/>
      <w:bookmarkStart w:id="52" w:name="_Toc8107"/>
      <w:bookmarkStart w:id="53" w:name="_Toc7431"/>
      <w:bookmarkStart w:id="54" w:name="_Toc19578"/>
      <w:bookmarkStart w:id="55" w:name="_Toc13450"/>
      <w:bookmarkStart w:id="56" w:name="_Toc18324"/>
      <w:bookmarkStart w:id="57" w:name="_Toc23486"/>
      <w:r>
        <w:rPr>
          <w:rFonts w:hint="eastAsia" w:asciiTheme="minorEastAsia" w:hAnsiTheme="minorEastAsia" w:eastAsiaTheme="minorEastAsia" w:cstheme="minorEastAsia"/>
          <w:spacing w:val="-4"/>
          <w:sz w:val="24"/>
          <w:szCs w:val="24"/>
          <w:lang w:val="en-US" w:eastAsia="zh-CN"/>
        </w:rPr>
        <w:t>（2）《保阜高速公路2023年边坡病害治理工程施工图设计》</w:t>
      </w:r>
      <w:bookmarkEnd w:id="51"/>
      <w:bookmarkEnd w:id="52"/>
      <w:bookmarkEnd w:id="53"/>
      <w:bookmarkEnd w:id="54"/>
      <w:bookmarkEnd w:id="55"/>
      <w:bookmarkEnd w:id="56"/>
      <w:bookmarkEnd w:id="57"/>
    </w:p>
    <w:p>
      <w:pPr>
        <w:pStyle w:val="8"/>
        <w:keepNext/>
        <w:keepLines/>
        <w:pageBreakBefore w:val="0"/>
        <w:widowControl w:val="0"/>
        <w:kinsoku/>
        <w:wordWrap/>
        <w:overflowPunct/>
        <w:topLinePunct w:val="0"/>
        <w:autoSpaceDE/>
        <w:autoSpaceDN/>
        <w:bidi w:val="0"/>
        <w:adjustRightInd/>
        <w:snapToGrid/>
        <w:ind w:left="420" w:leftChars="200" w:right="420" w:rightChars="200"/>
        <w:textAlignment w:val="auto"/>
        <w:rPr>
          <w:rFonts w:hint="eastAsia" w:ascii="宋体" w:hAnsi="宋体" w:eastAsia="宋体" w:cs="宋体"/>
          <w:sz w:val="24"/>
          <w:szCs w:val="24"/>
          <w:lang w:val="en-US" w:eastAsia="zh-CN"/>
        </w:rPr>
      </w:pPr>
      <w:bookmarkStart w:id="58" w:name="_Toc2522"/>
      <w:bookmarkStart w:id="59" w:name="_Toc7819"/>
      <w:bookmarkStart w:id="60" w:name="_Toc2077"/>
      <w:bookmarkStart w:id="61" w:name="_Toc8463"/>
      <w:bookmarkStart w:id="62" w:name="_Toc6701"/>
      <w:bookmarkStart w:id="63" w:name="_Toc21570"/>
      <w:bookmarkStart w:id="64" w:name="_Toc25201"/>
      <w:bookmarkStart w:id="65" w:name="_Toc26367"/>
      <w:r>
        <w:rPr>
          <w:rFonts w:hint="eastAsia" w:ascii="宋体" w:hAnsi="宋体" w:eastAsia="宋体" w:cs="宋体"/>
          <w:sz w:val="24"/>
          <w:szCs w:val="24"/>
          <w:lang w:val="en-US" w:eastAsia="zh-CN"/>
        </w:rPr>
        <w:t>1.2国家及行业现行法律、法规、政策、文件、工程标准规范</w:t>
      </w:r>
      <w:bookmarkEnd w:id="58"/>
      <w:bookmarkEnd w:id="59"/>
      <w:bookmarkEnd w:id="60"/>
      <w:bookmarkEnd w:id="61"/>
      <w:bookmarkEnd w:id="62"/>
      <w:bookmarkEnd w:id="63"/>
      <w:bookmarkEnd w:id="64"/>
      <w:bookmarkEnd w:id="65"/>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2"/>
        <w:rPr>
          <w:rFonts w:hint="eastAsia" w:asciiTheme="minorEastAsia" w:hAnsiTheme="minorEastAsia" w:eastAsiaTheme="minorEastAsia" w:cstheme="minorEastAsia"/>
          <w:spacing w:val="-4"/>
          <w:sz w:val="24"/>
          <w:szCs w:val="24"/>
          <w:lang w:val="en-US" w:eastAsia="zh-CN"/>
        </w:rPr>
      </w:pPr>
      <w:bookmarkStart w:id="66" w:name="_Toc11204"/>
      <w:bookmarkStart w:id="67" w:name="_Toc10502"/>
      <w:bookmarkStart w:id="68" w:name="_Toc6389"/>
      <w:bookmarkStart w:id="69" w:name="_Toc21810"/>
      <w:bookmarkStart w:id="70" w:name="_Toc18852"/>
      <w:bookmarkStart w:id="71" w:name="_Toc31968"/>
      <w:bookmarkStart w:id="72" w:name="_Toc10620"/>
      <w:r>
        <w:rPr>
          <w:rFonts w:hint="eastAsia" w:asciiTheme="minorEastAsia" w:hAnsiTheme="minorEastAsia" w:eastAsiaTheme="minorEastAsia" w:cstheme="minorEastAsia"/>
          <w:spacing w:val="-4"/>
          <w:sz w:val="24"/>
          <w:szCs w:val="24"/>
          <w:lang w:val="en-US" w:eastAsia="zh-CN"/>
        </w:rPr>
        <w:t>（1）《公路工程技术标准》（JTG B01-2014）</w:t>
      </w:r>
      <w:bookmarkEnd w:id="66"/>
      <w:bookmarkEnd w:id="67"/>
      <w:bookmarkEnd w:id="68"/>
      <w:bookmarkEnd w:id="69"/>
      <w:bookmarkEnd w:id="70"/>
      <w:bookmarkEnd w:id="71"/>
      <w:bookmarkEnd w:id="72"/>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2"/>
        <w:rPr>
          <w:rFonts w:hint="eastAsia" w:asciiTheme="minorEastAsia" w:hAnsiTheme="minorEastAsia" w:eastAsiaTheme="minorEastAsia" w:cstheme="minorEastAsia"/>
          <w:spacing w:val="-4"/>
          <w:sz w:val="24"/>
          <w:szCs w:val="24"/>
          <w:lang w:val="en-US" w:eastAsia="zh-CN"/>
        </w:rPr>
      </w:pPr>
      <w:bookmarkStart w:id="73" w:name="_Toc2152"/>
      <w:bookmarkStart w:id="74" w:name="_Toc8870"/>
      <w:bookmarkStart w:id="75" w:name="_Toc22041"/>
      <w:bookmarkStart w:id="76" w:name="_Toc8671"/>
      <w:bookmarkStart w:id="77" w:name="_Toc6775"/>
      <w:bookmarkStart w:id="78" w:name="_Toc28820"/>
      <w:bookmarkStart w:id="79" w:name="_Toc25232"/>
      <w:r>
        <w:rPr>
          <w:rFonts w:hint="eastAsia" w:asciiTheme="minorEastAsia" w:hAnsiTheme="minorEastAsia" w:eastAsiaTheme="minorEastAsia" w:cstheme="minorEastAsia"/>
          <w:spacing w:val="-4"/>
          <w:sz w:val="24"/>
          <w:szCs w:val="24"/>
          <w:lang w:val="en-US" w:eastAsia="zh-CN"/>
        </w:rPr>
        <w:t>（2）《公路养护技术规范》（JTGH10-2009）</w:t>
      </w:r>
      <w:bookmarkEnd w:id="73"/>
      <w:bookmarkEnd w:id="74"/>
      <w:bookmarkEnd w:id="75"/>
      <w:bookmarkEnd w:id="76"/>
      <w:bookmarkEnd w:id="77"/>
      <w:bookmarkEnd w:id="78"/>
      <w:bookmarkEnd w:id="79"/>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2"/>
        <w:rPr>
          <w:rFonts w:hint="eastAsia" w:asciiTheme="minorEastAsia" w:hAnsiTheme="minorEastAsia" w:eastAsiaTheme="minorEastAsia" w:cstheme="minorEastAsia"/>
          <w:spacing w:val="-4"/>
          <w:sz w:val="24"/>
          <w:szCs w:val="24"/>
          <w:lang w:val="en-US" w:eastAsia="zh-CN"/>
        </w:rPr>
      </w:pPr>
      <w:bookmarkStart w:id="80" w:name="_Toc20733"/>
      <w:bookmarkStart w:id="81" w:name="_Toc23208"/>
      <w:bookmarkStart w:id="82" w:name="_Toc27360"/>
      <w:bookmarkStart w:id="83" w:name="_Toc16216"/>
      <w:bookmarkStart w:id="84" w:name="_Toc22976"/>
      <w:bookmarkStart w:id="85" w:name="_Toc16481"/>
      <w:bookmarkStart w:id="86" w:name="_Toc22759"/>
      <w:r>
        <w:rPr>
          <w:rFonts w:hint="eastAsia" w:asciiTheme="minorEastAsia" w:hAnsiTheme="minorEastAsia" w:eastAsiaTheme="minorEastAsia" w:cstheme="minorEastAsia"/>
          <w:spacing w:val="-4"/>
          <w:sz w:val="24"/>
          <w:szCs w:val="24"/>
          <w:lang w:val="en-US" w:eastAsia="zh-CN"/>
        </w:rPr>
        <w:t>（3）《公路路基施工技术规范》（JTG F10-2006）</w:t>
      </w:r>
      <w:bookmarkEnd w:id="80"/>
      <w:bookmarkEnd w:id="81"/>
      <w:bookmarkEnd w:id="82"/>
      <w:bookmarkEnd w:id="83"/>
      <w:bookmarkEnd w:id="84"/>
      <w:bookmarkEnd w:id="85"/>
      <w:bookmarkEnd w:id="86"/>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2"/>
        <w:rPr>
          <w:rFonts w:hint="eastAsia" w:asciiTheme="minorEastAsia" w:hAnsiTheme="minorEastAsia" w:eastAsiaTheme="minorEastAsia" w:cstheme="minorEastAsia"/>
          <w:spacing w:val="-4"/>
          <w:sz w:val="24"/>
          <w:szCs w:val="24"/>
          <w:lang w:val="en-US" w:eastAsia="zh-CN"/>
        </w:rPr>
      </w:pPr>
      <w:bookmarkStart w:id="87" w:name="_Toc9422"/>
      <w:bookmarkStart w:id="88" w:name="_Toc6255"/>
      <w:bookmarkStart w:id="89" w:name="_Toc2194"/>
      <w:bookmarkStart w:id="90" w:name="_Toc19826"/>
      <w:bookmarkStart w:id="91" w:name="_Toc7008"/>
      <w:bookmarkStart w:id="92" w:name="_Toc16371"/>
      <w:bookmarkStart w:id="93" w:name="_Toc17394"/>
      <w:bookmarkStart w:id="94" w:name="_Toc22333"/>
      <w:bookmarkStart w:id="95" w:name="_Toc1812"/>
      <w:bookmarkStart w:id="96" w:name="_Toc17897"/>
      <w:r>
        <w:rPr>
          <w:rFonts w:hint="eastAsia" w:asciiTheme="minorEastAsia" w:hAnsiTheme="minorEastAsia" w:eastAsiaTheme="minorEastAsia" w:cstheme="minorEastAsia"/>
          <w:spacing w:val="-4"/>
          <w:sz w:val="24"/>
          <w:szCs w:val="24"/>
          <w:lang w:val="en-US" w:eastAsia="zh-CN"/>
        </w:rPr>
        <w:t>（4）《公路养护安全作业规程》（JTGH30—2015）</w:t>
      </w:r>
      <w:bookmarkEnd w:id="87"/>
      <w:bookmarkEnd w:id="88"/>
      <w:bookmarkEnd w:id="89"/>
      <w:bookmarkEnd w:id="90"/>
      <w:bookmarkEnd w:id="91"/>
      <w:bookmarkEnd w:id="92"/>
      <w:bookmarkEnd w:id="93"/>
      <w:bookmarkEnd w:id="94"/>
      <w:bookmarkEnd w:id="95"/>
      <w:bookmarkEnd w:id="96"/>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2"/>
        <w:rPr>
          <w:rFonts w:hint="eastAsia" w:asciiTheme="minorEastAsia" w:hAnsiTheme="minorEastAsia" w:eastAsiaTheme="minorEastAsia" w:cstheme="minorEastAsia"/>
          <w:spacing w:val="-4"/>
          <w:sz w:val="24"/>
          <w:szCs w:val="24"/>
          <w:lang w:val="en-US" w:eastAsia="zh-CN"/>
        </w:rPr>
      </w:pPr>
      <w:bookmarkStart w:id="97" w:name="_Toc31465"/>
      <w:bookmarkStart w:id="98" w:name="_Toc15969"/>
      <w:bookmarkStart w:id="99" w:name="_Toc600"/>
      <w:bookmarkStart w:id="100" w:name="_Toc18912"/>
      <w:bookmarkStart w:id="101" w:name="_Toc29678"/>
      <w:bookmarkStart w:id="102" w:name="_Toc16125"/>
      <w:bookmarkStart w:id="103" w:name="_Toc26577"/>
      <w:r>
        <w:rPr>
          <w:rFonts w:hint="eastAsia" w:asciiTheme="minorEastAsia" w:hAnsiTheme="minorEastAsia" w:eastAsiaTheme="minorEastAsia" w:cstheme="minorEastAsia"/>
          <w:spacing w:val="-4"/>
          <w:sz w:val="24"/>
          <w:szCs w:val="24"/>
          <w:lang w:val="en-US" w:eastAsia="zh-CN"/>
        </w:rPr>
        <w:t>（5）《公路工程质量检验评定标准》（JTGF80—2019）</w:t>
      </w:r>
      <w:bookmarkEnd w:id="97"/>
      <w:bookmarkEnd w:id="98"/>
      <w:bookmarkEnd w:id="99"/>
      <w:bookmarkEnd w:id="100"/>
      <w:bookmarkEnd w:id="101"/>
      <w:bookmarkEnd w:id="102"/>
      <w:bookmarkEnd w:id="103"/>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2"/>
        <w:rPr>
          <w:rFonts w:hint="eastAsia" w:asciiTheme="minorEastAsia" w:hAnsiTheme="minorEastAsia" w:eastAsiaTheme="minorEastAsia" w:cstheme="minorEastAsia"/>
          <w:spacing w:val="-4"/>
          <w:sz w:val="24"/>
          <w:szCs w:val="24"/>
          <w:lang w:val="en-US" w:eastAsia="zh-CN"/>
        </w:rPr>
      </w:pPr>
      <w:bookmarkStart w:id="104" w:name="_Toc10604"/>
      <w:bookmarkStart w:id="105" w:name="_Toc26101"/>
      <w:bookmarkStart w:id="106" w:name="_Toc29848"/>
      <w:bookmarkStart w:id="107" w:name="_Toc3901"/>
      <w:bookmarkStart w:id="108" w:name="_Toc29860"/>
      <w:bookmarkStart w:id="109" w:name="_Toc1319"/>
      <w:bookmarkStart w:id="110" w:name="_Toc18697"/>
      <w:r>
        <w:rPr>
          <w:rFonts w:hint="eastAsia" w:asciiTheme="minorEastAsia" w:hAnsiTheme="minorEastAsia" w:eastAsiaTheme="minorEastAsia" w:cstheme="minorEastAsia"/>
          <w:spacing w:val="-4"/>
          <w:sz w:val="24"/>
          <w:szCs w:val="24"/>
          <w:lang w:val="en-US" w:eastAsia="zh-CN"/>
        </w:rPr>
        <w:t>（6）《边坡柔性防护网系统》(JT/T 1328-2020)</w:t>
      </w:r>
      <w:bookmarkEnd w:id="104"/>
      <w:bookmarkEnd w:id="105"/>
      <w:bookmarkEnd w:id="106"/>
      <w:bookmarkEnd w:id="107"/>
      <w:bookmarkEnd w:id="108"/>
      <w:bookmarkEnd w:id="109"/>
      <w:bookmarkEnd w:id="110"/>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2"/>
        <w:rPr>
          <w:rFonts w:hint="eastAsia" w:asciiTheme="minorEastAsia" w:hAnsiTheme="minorEastAsia" w:eastAsiaTheme="minorEastAsia" w:cstheme="minorEastAsia"/>
          <w:spacing w:val="-4"/>
          <w:sz w:val="24"/>
          <w:szCs w:val="24"/>
          <w:lang w:val="en-US" w:eastAsia="zh-CN"/>
        </w:rPr>
      </w:pPr>
      <w:bookmarkStart w:id="111" w:name="_Toc21107"/>
      <w:bookmarkStart w:id="112" w:name="_Toc13229"/>
      <w:bookmarkStart w:id="113" w:name="_Toc24348"/>
      <w:bookmarkStart w:id="114" w:name="_Toc12094"/>
      <w:bookmarkStart w:id="115" w:name="_Toc18300"/>
      <w:bookmarkStart w:id="116" w:name="_Toc11916"/>
      <w:bookmarkStart w:id="117" w:name="_Toc6107"/>
      <w:r>
        <w:rPr>
          <w:rFonts w:hint="eastAsia" w:asciiTheme="minorEastAsia" w:hAnsiTheme="minorEastAsia" w:eastAsiaTheme="minorEastAsia" w:cstheme="minorEastAsia"/>
          <w:spacing w:val="-4"/>
          <w:sz w:val="24"/>
          <w:szCs w:val="24"/>
          <w:lang w:val="en-US" w:eastAsia="zh-CN"/>
        </w:rPr>
        <w:t>（7）河北省大气污染防治条例、扬尘污染防治的决定等政策文件</w:t>
      </w:r>
      <w:bookmarkEnd w:id="111"/>
      <w:bookmarkEnd w:id="112"/>
      <w:bookmarkEnd w:id="113"/>
      <w:bookmarkEnd w:id="114"/>
      <w:bookmarkEnd w:id="115"/>
      <w:bookmarkEnd w:id="116"/>
      <w:bookmarkEnd w:id="117"/>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2"/>
        <w:rPr>
          <w:rFonts w:hint="eastAsia" w:asciiTheme="minorEastAsia" w:hAnsiTheme="minorEastAsia" w:eastAsiaTheme="minorEastAsia" w:cstheme="minorEastAsia"/>
          <w:spacing w:val="-4"/>
          <w:sz w:val="24"/>
          <w:szCs w:val="24"/>
          <w:lang w:val="en-US" w:eastAsia="zh-CN"/>
        </w:rPr>
      </w:pPr>
      <w:bookmarkStart w:id="118" w:name="_Toc30974"/>
      <w:bookmarkStart w:id="119" w:name="_Toc19955"/>
      <w:bookmarkStart w:id="120" w:name="_Toc1583"/>
      <w:bookmarkStart w:id="121" w:name="_Toc9595"/>
      <w:bookmarkStart w:id="122" w:name="_Toc566"/>
      <w:bookmarkStart w:id="123" w:name="_Toc17180"/>
      <w:bookmarkStart w:id="124" w:name="_Toc22875"/>
      <w:r>
        <w:rPr>
          <w:rFonts w:hint="eastAsia" w:asciiTheme="minorEastAsia" w:hAnsiTheme="minorEastAsia" w:eastAsiaTheme="minorEastAsia" w:cstheme="minorEastAsia"/>
          <w:spacing w:val="-4"/>
          <w:sz w:val="24"/>
          <w:szCs w:val="24"/>
          <w:lang w:val="en-US" w:eastAsia="zh-CN"/>
        </w:rPr>
        <w:t>（8）国家及行业其他有关的法律、法规、政策、文件、工程标准规范</w:t>
      </w:r>
      <w:bookmarkEnd w:id="118"/>
      <w:bookmarkEnd w:id="119"/>
      <w:bookmarkEnd w:id="120"/>
      <w:bookmarkEnd w:id="121"/>
      <w:bookmarkEnd w:id="122"/>
      <w:bookmarkEnd w:id="123"/>
      <w:bookmarkEnd w:id="124"/>
    </w:p>
    <w:p>
      <w:pPr>
        <w:pStyle w:val="8"/>
        <w:keepNext/>
        <w:keepLines/>
        <w:pageBreakBefore w:val="0"/>
        <w:widowControl w:val="0"/>
        <w:kinsoku/>
        <w:wordWrap/>
        <w:overflowPunct/>
        <w:topLinePunct w:val="0"/>
        <w:autoSpaceDE/>
        <w:autoSpaceDN/>
        <w:bidi w:val="0"/>
        <w:adjustRightInd/>
        <w:snapToGrid/>
        <w:ind w:left="420" w:leftChars="200"/>
        <w:textAlignment w:val="auto"/>
        <w:rPr>
          <w:rFonts w:hint="eastAsia" w:ascii="宋体" w:hAnsi="宋体" w:eastAsia="宋体" w:cs="宋体"/>
          <w:sz w:val="24"/>
          <w:szCs w:val="24"/>
          <w:lang w:val="en-US" w:eastAsia="zh-CN"/>
        </w:rPr>
      </w:pPr>
      <w:bookmarkStart w:id="125" w:name="_Toc21569"/>
      <w:bookmarkStart w:id="126" w:name="_Toc13431"/>
      <w:bookmarkStart w:id="127" w:name="_Toc5439"/>
      <w:bookmarkStart w:id="128" w:name="_Toc16459"/>
      <w:bookmarkStart w:id="129" w:name="_Toc5634"/>
      <w:r>
        <w:rPr>
          <w:rFonts w:hint="eastAsia" w:ascii="宋体" w:hAnsi="宋体" w:eastAsia="宋体" w:cs="宋体"/>
          <w:sz w:val="24"/>
          <w:szCs w:val="24"/>
          <w:lang w:val="en-US" w:eastAsia="zh-CN"/>
        </w:rPr>
        <w:t>1.3编制原则</w:t>
      </w:r>
      <w:bookmarkEnd w:id="125"/>
      <w:bookmarkEnd w:id="126"/>
      <w:bookmarkEnd w:id="127"/>
      <w:bookmarkEnd w:id="128"/>
      <w:bookmarkEnd w:id="129"/>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30" w:name="_Toc10487"/>
      <w:bookmarkStart w:id="131" w:name="_Toc28505"/>
      <w:bookmarkStart w:id="132" w:name="_Toc13128"/>
      <w:bookmarkStart w:id="133" w:name="_Toc29547"/>
      <w:bookmarkStart w:id="134" w:name="_Toc8441"/>
      <w:bookmarkStart w:id="135" w:name="_Toc24626"/>
      <w:bookmarkStart w:id="136" w:name="_Toc28309"/>
      <w:r>
        <w:rPr>
          <w:rFonts w:hint="eastAsia" w:asciiTheme="minorEastAsia" w:hAnsiTheme="minorEastAsia" w:eastAsiaTheme="minorEastAsia" w:cstheme="minorEastAsia"/>
          <w:spacing w:val="-4"/>
          <w:sz w:val="24"/>
          <w:szCs w:val="24"/>
          <w:lang w:val="en-US" w:eastAsia="zh-CN"/>
        </w:rPr>
        <w:t>(1)完全响应招标文件、设计方案的原则。服从业主、遵守设计的原则。积极响应和遵守招标文件要求，严格按设计要求进行施工组织。</w:t>
      </w:r>
      <w:bookmarkEnd w:id="130"/>
      <w:bookmarkEnd w:id="131"/>
      <w:bookmarkEnd w:id="132"/>
      <w:bookmarkEnd w:id="133"/>
      <w:bookmarkEnd w:id="134"/>
      <w:bookmarkEnd w:id="135"/>
      <w:bookmarkEnd w:id="136"/>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37" w:name="_Toc15609"/>
      <w:bookmarkStart w:id="138" w:name="_Toc18176"/>
      <w:bookmarkStart w:id="139" w:name="_Toc16815"/>
      <w:bookmarkStart w:id="140" w:name="_Toc26558"/>
      <w:bookmarkStart w:id="141" w:name="_Toc17440"/>
      <w:bookmarkStart w:id="142" w:name="_Toc131"/>
      <w:bookmarkStart w:id="143" w:name="_Toc8701"/>
      <w:r>
        <w:rPr>
          <w:rFonts w:hint="eastAsia" w:asciiTheme="minorEastAsia" w:hAnsiTheme="minorEastAsia" w:eastAsiaTheme="minorEastAsia" w:cstheme="minorEastAsia"/>
          <w:spacing w:val="-4"/>
          <w:sz w:val="24"/>
          <w:szCs w:val="24"/>
          <w:lang w:val="en-US" w:eastAsia="zh-CN"/>
        </w:rPr>
        <w:t>(2)良好诚信履约原则：编制科学合理的施工方案，优化资源配置。科学组织、规范文明施工，确保质量合格、安全生产无事故和工程如期完成。</w:t>
      </w:r>
      <w:bookmarkEnd w:id="137"/>
      <w:bookmarkEnd w:id="138"/>
      <w:bookmarkEnd w:id="139"/>
      <w:bookmarkEnd w:id="140"/>
      <w:bookmarkEnd w:id="141"/>
      <w:bookmarkEnd w:id="142"/>
      <w:bookmarkEnd w:id="143"/>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44" w:name="_Toc23657"/>
      <w:bookmarkStart w:id="145" w:name="_Toc7728"/>
      <w:bookmarkStart w:id="146" w:name="_Toc10478"/>
      <w:bookmarkStart w:id="147" w:name="_Toc4692"/>
      <w:bookmarkStart w:id="148" w:name="_Toc16206"/>
      <w:bookmarkStart w:id="149" w:name="_Toc8276"/>
      <w:bookmarkStart w:id="150" w:name="_Toc4882"/>
      <w:r>
        <w:rPr>
          <w:rFonts w:hint="eastAsia" w:asciiTheme="minorEastAsia" w:hAnsiTheme="minorEastAsia" w:eastAsiaTheme="minorEastAsia" w:cstheme="minorEastAsia"/>
          <w:spacing w:val="-4"/>
          <w:sz w:val="24"/>
          <w:szCs w:val="24"/>
          <w:lang w:val="en-US" w:eastAsia="zh-CN"/>
        </w:rPr>
        <w:t>(3)安全第一原则：贯彻安全第一、预防为主、综合治理的原则，科学安排，合理组织，做好各项安全应急管理工作。以科学有效的技术保障措施和先进的施工工艺，防止出现安全责任事故。</w:t>
      </w:r>
      <w:bookmarkEnd w:id="144"/>
      <w:bookmarkEnd w:id="145"/>
      <w:bookmarkEnd w:id="146"/>
      <w:bookmarkEnd w:id="147"/>
      <w:bookmarkEnd w:id="148"/>
      <w:bookmarkEnd w:id="149"/>
      <w:bookmarkEnd w:id="150"/>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51" w:name="_Toc17412"/>
      <w:bookmarkStart w:id="152" w:name="_Toc18409"/>
      <w:bookmarkStart w:id="153" w:name="_Toc25493"/>
      <w:bookmarkStart w:id="154" w:name="_Toc9094"/>
      <w:bookmarkStart w:id="155" w:name="_Toc30621"/>
      <w:bookmarkStart w:id="156" w:name="_Toc1860"/>
      <w:bookmarkStart w:id="157" w:name="_Toc16866"/>
      <w:r>
        <w:rPr>
          <w:rFonts w:hint="eastAsia" w:asciiTheme="minorEastAsia" w:hAnsiTheme="minorEastAsia" w:eastAsiaTheme="minorEastAsia" w:cstheme="minorEastAsia"/>
          <w:spacing w:val="-4"/>
          <w:sz w:val="24"/>
          <w:szCs w:val="24"/>
          <w:lang w:val="en-US" w:eastAsia="zh-CN"/>
        </w:rPr>
        <w:t>(4)质量至上原则：确立质量目标、制定质量保证措施、严格按照质量体系及有关质量管理的法律、法规和文件要求运作，编制科学合理的施工方案，严格检验，规范施工，严格要求工作质量，确保每道工序、每项工程的工程质量满足设计和规范要求。</w:t>
      </w:r>
      <w:bookmarkEnd w:id="151"/>
      <w:bookmarkEnd w:id="152"/>
      <w:bookmarkEnd w:id="153"/>
      <w:bookmarkEnd w:id="154"/>
      <w:bookmarkEnd w:id="155"/>
      <w:bookmarkEnd w:id="156"/>
      <w:bookmarkEnd w:id="157"/>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58" w:name="_Toc9908"/>
      <w:bookmarkStart w:id="159" w:name="_Toc2812"/>
      <w:bookmarkStart w:id="160" w:name="_Toc14039"/>
      <w:bookmarkStart w:id="161" w:name="_Toc26682"/>
      <w:bookmarkStart w:id="162" w:name="_Toc30279"/>
      <w:bookmarkStart w:id="163" w:name="_Toc25957"/>
      <w:bookmarkStart w:id="164" w:name="_Toc30197"/>
      <w:r>
        <w:rPr>
          <w:rFonts w:hint="eastAsia" w:asciiTheme="minorEastAsia" w:hAnsiTheme="minorEastAsia" w:eastAsiaTheme="minorEastAsia" w:cstheme="minorEastAsia"/>
          <w:spacing w:val="-4"/>
          <w:sz w:val="24"/>
          <w:szCs w:val="24"/>
          <w:lang w:val="en-US" w:eastAsia="zh-CN"/>
        </w:rPr>
        <w:t>（5）确保工期的原则。严格遵守招标文件所规定的工程施工工期,根据本合同段公路工程的特点和要求，在保证质量、安全可靠的前提下合理地安排施工程序，优化资源配置，各工序紧密衔接，避免不必要的重复工作，以保证施工连续均衡有序地进行，施工进度安排时充分考虑节假日、特殊状况对施工的影响，确保施工工期同时并力争提前完工。</w:t>
      </w:r>
      <w:bookmarkEnd w:id="158"/>
      <w:bookmarkEnd w:id="159"/>
      <w:bookmarkEnd w:id="160"/>
      <w:bookmarkEnd w:id="161"/>
      <w:bookmarkEnd w:id="162"/>
      <w:bookmarkEnd w:id="163"/>
      <w:bookmarkEnd w:id="164"/>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65" w:name="_Toc30963"/>
      <w:bookmarkStart w:id="166" w:name="_Toc5325"/>
      <w:bookmarkStart w:id="167" w:name="_Toc2355"/>
      <w:bookmarkStart w:id="168" w:name="_Toc5833"/>
      <w:bookmarkStart w:id="169" w:name="_Toc31709"/>
      <w:bookmarkStart w:id="170" w:name="_Toc12380"/>
      <w:bookmarkStart w:id="171" w:name="_Toc220"/>
      <w:r>
        <w:rPr>
          <w:rFonts w:hint="eastAsia" w:asciiTheme="minorEastAsia" w:hAnsiTheme="minorEastAsia" w:eastAsiaTheme="minorEastAsia" w:cstheme="minorEastAsia"/>
          <w:spacing w:val="-4"/>
          <w:sz w:val="24"/>
          <w:szCs w:val="24"/>
          <w:lang w:val="en-US" w:eastAsia="zh-CN"/>
        </w:rPr>
        <w:t>（6）运用平行、交叉、流水等科学手段组织施工生产，利用成熟可靠的技术，优质、高效完成该项施工任务。</w:t>
      </w:r>
      <w:bookmarkEnd w:id="165"/>
      <w:bookmarkEnd w:id="166"/>
      <w:bookmarkEnd w:id="167"/>
      <w:bookmarkEnd w:id="168"/>
      <w:bookmarkEnd w:id="169"/>
      <w:bookmarkEnd w:id="170"/>
      <w:bookmarkEnd w:id="171"/>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72" w:name="_Toc11521"/>
      <w:bookmarkStart w:id="173" w:name="_Toc4393"/>
      <w:bookmarkStart w:id="174" w:name="_Toc12721"/>
      <w:bookmarkStart w:id="175" w:name="_Toc9468"/>
      <w:bookmarkStart w:id="176" w:name="_Toc4861"/>
      <w:bookmarkStart w:id="177" w:name="_Toc27877"/>
      <w:bookmarkStart w:id="178" w:name="_Toc23990"/>
      <w:r>
        <w:rPr>
          <w:rFonts w:hint="eastAsia" w:asciiTheme="minorEastAsia" w:hAnsiTheme="minorEastAsia" w:eastAsiaTheme="minorEastAsia" w:cstheme="minorEastAsia"/>
          <w:spacing w:val="-4"/>
          <w:sz w:val="24"/>
          <w:szCs w:val="24"/>
          <w:lang w:val="en-US" w:eastAsia="zh-CN"/>
        </w:rPr>
        <w:t>（7）遵照执行标准、规范的原则。严格执行国家、行业颁布的现行的有关工程施工的技术规范、质量验收标准和安全生产的有关规定及招标文件的有关规定。</w:t>
      </w:r>
      <w:bookmarkEnd w:id="172"/>
      <w:bookmarkEnd w:id="173"/>
      <w:bookmarkEnd w:id="174"/>
      <w:bookmarkEnd w:id="175"/>
      <w:bookmarkEnd w:id="176"/>
      <w:bookmarkEnd w:id="177"/>
      <w:bookmarkEnd w:id="178"/>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79" w:name="_Toc18746"/>
      <w:bookmarkStart w:id="180" w:name="_Toc7920"/>
      <w:bookmarkStart w:id="181" w:name="_Toc12708"/>
      <w:bookmarkStart w:id="182" w:name="_Toc21849"/>
      <w:bookmarkStart w:id="183" w:name="_Toc30839"/>
      <w:bookmarkStart w:id="184" w:name="_Toc16188"/>
      <w:bookmarkStart w:id="185" w:name="_Toc11029"/>
      <w:r>
        <w:rPr>
          <w:rFonts w:hint="eastAsia" w:asciiTheme="minorEastAsia" w:hAnsiTheme="minorEastAsia" w:eastAsiaTheme="minorEastAsia" w:cstheme="minorEastAsia"/>
          <w:spacing w:val="-4"/>
          <w:sz w:val="24"/>
          <w:szCs w:val="24"/>
          <w:lang w:val="en-US" w:eastAsia="zh-CN"/>
        </w:rPr>
        <w:t>(8)廉洁原则：严格贯彻落实党的二十大精神和习近平新时代中国特色社会主义思想，建立健全廉政制度，不得损害国家和集体利益。</w:t>
      </w:r>
      <w:bookmarkEnd w:id="179"/>
      <w:bookmarkEnd w:id="180"/>
      <w:bookmarkEnd w:id="181"/>
      <w:bookmarkEnd w:id="182"/>
      <w:bookmarkEnd w:id="183"/>
      <w:bookmarkEnd w:id="184"/>
      <w:bookmarkEnd w:id="185"/>
    </w:p>
    <w:p>
      <w:pPr>
        <w:pStyle w:val="7"/>
        <w:bidi w:val="0"/>
        <w:ind w:firstLine="562" w:firstLineChars="200"/>
        <w:rPr>
          <w:rFonts w:hint="eastAsia" w:ascii="宋体" w:hAnsi="宋体" w:eastAsia="宋体" w:cs="宋体"/>
          <w:sz w:val="32"/>
          <w:szCs w:val="32"/>
          <w:lang w:val="en-US" w:eastAsia="zh-CN"/>
        </w:rPr>
      </w:pPr>
      <w:bookmarkStart w:id="186" w:name="_Toc4800"/>
      <w:bookmarkStart w:id="187" w:name="_Toc15623"/>
      <w:bookmarkStart w:id="188" w:name="_Toc22325"/>
      <w:bookmarkStart w:id="189" w:name="_Toc21022"/>
      <w:bookmarkStart w:id="190" w:name="_Toc6451"/>
      <w:r>
        <w:rPr>
          <w:rFonts w:hint="eastAsia" w:ascii="宋体" w:hAnsi="宋体" w:eastAsia="宋体" w:cs="宋体"/>
          <w:sz w:val="28"/>
          <w:szCs w:val="28"/>
          <w:lang w:val="en-US" w:eastAsia="zh-CN"/>
        </w:rPr>
        <w:t>2、工程概况</w:t>
      </w:r>
      <w:bookmarkEnd w:id="186"/>
      <w:bookmarkEnd w:id="187"/>
      <w:bookmarkEnd w:id="188"/>
      <w:bookmarkEnd w:id="189"/>
      <w:bookmarkEnd w:id="190"/>
    </w:p>
    <w:p>
      <w:pPr>
        <w:pStyle w:val="8"/>
        <w:bidi w:val="0"/>
        <w:ind w:firstLine="482" w:firstLineChars="200"/>
        <w:rPr>
          <w:rFonts w:hint="eastAsia" w:ascii="宋体" w:hAnsi="宋体" w:eastAsia="宋体" w:cs="宋体"/>
          <w:sz w:val="24"/>
          <w:szCs w:val="24"/>
          <w:lang w:val="en-US" w:eastAsia="zh-CN"/>
        </w:rPr>
      </w:pPr>
      <w:bookmarkStart w:id="191" w:name="_Toc22043"/>
      <w:bookmarkStart w:id="192" w:name="_Toc17362"/>
      <w:bookmarkStart w:id="193" w:name="_Toc18662"/>
      <w:bookmarkStart w:id="194" w:name="_Toc29291"/>
      <w:bookmarkStart w:id="195" w:name="_Toc19268"/>
      <w:r>
        <w:rPr>
          <w:rFonts w:hint="eastAsia" w:ascii="宋体" w:hAnsi="宋体" w:eastAsia="宋体" w:cs="宋体"/>
          <w:sz w:val="24"/>
          <w:szCs w:val="24"/>
          <w:lang w:val="en-US" w:eastAsia="zh-CN"/>
        </w:rPr>
        <w:t>2.1建设地点</w:t>
      </w:r>
      <w:bookmarkEnd w:id="191"/>
      <w:bookmarkEnd w:id="192"/>
      <w:bookmarkEnd w:id="193"/>
      <w:bookmarkEnd w:id="194"/>
      <w:bookmarkEnd w:id="195"/>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2"/>
        <w:rPr>
          <w:rFonts w:hint="eastAsia" w:asciiTheme="minorEastAsia" w:hAnsiTheme="minorEastAsia" w:eastAsiaTheme="minorEastAsia" w:cstheme="minorEastAsia"/>
          <w:spacing w:val="-4"/>
          <w:sz w:val="24"/>
          <w:szCs w:val="24"/>
          <w:lang w:val="en-US" w:eastAsia="zh-CN"/>
        </w:rPr>
      </w:pPr>
      <w:bookmarkStart w:id="196" w:name="_Toc13884"/>
      <w:bookmarkStart w:id="197" w:name="_Toc14189"/>
      <w:bookmarkStart w:id="198" w:name="_Toc21005"/>
      <w:bookmarkStart w:id="199" w:name="_Toc22375"/>
      <w:bookmarkStart w:id="200" w:name="_Toc28005"/>
      <w:bookmarkStart w:id="201" w:name="_Toc18940"/>
      <w:bookmarkStart w:id="202" w:name="_Toc11212"/>
      <w:r>
        <w:rPr>
          <w:rFonts w:hint="eastAsia" w:asciiTheme="minorEastAsia" w:hAnsiTheme="minorEastAsia" w:eastAsiaTheme="minorEastAsia" w:cstheme="minorEastAsia"/>
          <w:spacing w:val="-4"/>
          <w:sz w:val="24"/>
          <w:szCs w:val="24"/>
          <w:lang w:val="en-US" w:eastAsia="zh-CN"/>
        </w:rPr>
        <w:t>建设地点：保阜高速沿线</w:t>
      </w:r>
      <w:bookmarkEnd w:id="196"/>
      <w:bookmarkEnd w:id="197"/>
      <w:bookmarkEnd w:id="198"/>
      <w:bookmarkEnd w:id="199"/>
      <w:bookmarkEnd w:id="200"/>
      <w:bookmarkEnd w:id="201"/>
      <w:bookmarkEnd w:id="202"/>
    </w:p>
    <w:p>
      <w:pPr>
        <w:pStyle w:val="8"/>
        <w:bidi w:val="0"/>
        <w:ind w:firstLine="482" w:firstLineChars="200"/>
        <w:rPr>
          <w:rFonts w:hint="eastAsia" w:ascii="宋体" w:hAnsi="宋体" w:eastAsia="宋体" w:cs="宋体"/>
          <w:sz w:val="24"/>
          <w:szCs w:val="24"/>
          <w:lang w:val="en-US" w:eastAsia="zh-CN"/>
        </w:rPr>
      </w:pPr>
      <w:bookmarkStart w:id="203" w:name="_Toc24305"/>
      <w:bookmarkStart w:id="204" w:name="_Toc31326"/>
      <w:bookmarkStart w:id="205" w:name="_Toc838"/>
      <w:bookmarkStart w:id="206" w:name="_Toc28100"/>
      <w:bookmarkStart w:id="207" w:name="_Toc6502"/>
      <w:r>
        <w:rPr>
          <w:rFonts w:hint="eastAsia" w:ascii="宋体" w:hAnsi="宋体" w:eastAsia="宋体" w:cs="宋体"/>
          <w:sz w:val="24"/>
          <w:szCs w:val="24"/>
          <w:lang w:val="en-US" w:eastAsia="zh-CN"/>
        </w:rPr>
        <w:t>2.2项目概述</w:t>
      </w:r>
      <w:bookmarkEnd w:id="203"/>
      <w:bookmarkEnd w:id="204"/>
      <w:bookmarkEnd w:id="205"/>
      <w:bookmarkEnd w:id="206"/>
      <w:bookmarkEnd w:id="207"/>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208" w:name="_Toc20326"/>
      <w:bookmarkStart w:id="209" w:name="_Toc10794"/>
      <w:bookmarkStart w:id="210" w:name="_Toc16640"/>
      <w:bookmarkStart w:id="211" w:name="_Toc4225"/>
      <w:bookmarkStart w:id="212" w:name="_Toc23687"/>
      <w:bookmarkStart w:id="213" w:name="_Toc4449"/>
      <w:bookmarkStart w:id="214" w:name="_Toc10685"/>
      <w:r>
        <w:rPr>
          <w:rFonts w:hint="eastAsia" w:asciiTheme="minorEastAsia" w:hAnsiTheme="minorEastAsia" w:eastAsiaTheme="minorEastAsia" w:cstheme="minorEastAsia"/>
          <w:spacing w:val="-4"/>
          <w:sz w:val="24"/>
          <w:szCs w:val="24"/>
          <w:lang w:val="en-US" w:eastAsia="zh-CN"/>
        </w:rPr>
        <w:t>保阜高速公路东起保沧高速公路，西与山西省的忻阜高速公路相接，途经满城、顺平、唐 县、曲阳、阜平五个县，路线全长 147.284  公里。保阜高速公路施工难度大、技术含量高、地 质条件复杂，海拔从 26.5 米一路攀升到 1304 米，山区路段山势险峻，山岭重丘区路段占 80%， 桥隧比达 34% 。全线均采用双向四车道标准建设， 共分三期通车：一期工程为 K120+248~ K150+248  (保沧至张石高速) 段，路基宽 28 米，设计时速 120 公里/小时，2009 年 10 月建成 通车；二期工程 K150+248~K228+448  (顺平至阜平县城) 段，设计速度 100 公里/小时，路基 宽 28 米， 2010 年 12 月建成通车；三期工程 K228+448~K267+532  (阜平至山西界) 段，路基 宽 27 米，设计时速 80 公里/小时，2011 年 12 月建成通车。</w:t>
      </w:r>
      <w:bookmarkEnd w:id="208"/>
      <w:bookmarkEnd w:id="209"/>
      <w:bookmarkEnd w:id="210"/>
      <w:bookmarkEnd w:id="211"/>
      <w:bookmarkEnd w:id="212"/>
      <w:bookmarkEnd w:id="213"/>
      <w:bookmarkEnd w:id="214"/>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215" w:name="_Toc13419"/>
      <w:bookmarkStart w:id="216" w:name="_Toc17318"/>
      <w:bookmarkStart w:id="217" w:name="_Toc3286"/>
      <w:bookmarkStart w:id="218" w:name="_Toc23676"/>
      <w:bookmarkStart w:id="219" w:name="_Toc15224"/>
      <w:bookmarkStart w:id="220" w:name="_Toc24141"/>
      <w:bookmarkStart w:id="221" w:name="_Toc5538"/>
      <w:r>
        <w:rPr>
          <w:rFonts w:hint="eastAsia" w:asciiTheme="minorEastAsia" w:hAnsiTheme="minorEastAsia" w:eastAsiaTheme="minorEastAsia" w:cstheme="minorEastAsia"/>
          <w:spacing w:val="-4"/>
          <w:sz w:val="24"/>
          <w:szCs w:val="24"/>
          <w:lang w:val="en-US" w:eastAsia="zh-CN"/>
        </w:rPr>
        <w:t>保阜高速公路是河北省高速公路“6+3”重点项目之一， 是河北省“五纵六横七条线”高速 公路网的重要组成部分，是“东出西联”的重要走廊，特别是晋煤东运和河北省农副产品西运的大通道， 对开发沿线旅游资源以及拉动沿线经济发展具有十分重要的意义。</w:t>
      </w:r>
      <w:bookmarkEnd w:id="215"/>
      <w:bookmarkEnd w:id="216"/>
      <w:bookmarkEnd w:id="217"/>
      <w:bookmarkEnd w:id="218"/>
      <w:bookmarkEnd w:id="219"/>
      <w:bookmarkEnd w:id="220"/>
      <w:bookmarkEnd w:id="221"/>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222" w:name="_Toc16338"/>
      <w:bookmarkStart w:id="223" w:name="_Toc5347"/>
      <w:bookmarkStart w:id="224" w:name="_Toc17248"/>
      <w:bookmarkStart w:id="225" w:name="_Toc31702"/>
      <w:bookmarkStart w:id="226" w:name="_Toc1911"/>
      <w:bookmarkStart w:id="227" w:name="_Toc32057"/>
      <w:bookmarkStart w:id="228" w:name="_Toc5679"/>
      <w:r>
        <w:rPr>
          <w:rFonts w:hint="eastAsia" w:asciiTheme="minorEastAsia" w:hAnsiTheme="minorEastAsia" w:eastAsiaTheme="minorEastAsia" w:cstheme="minorEastAsia"/>
          <w:spacing w:val="-4"/>
          <w:sz w:val="24"/>
          <w:szCs w:val="24"/>
          <w:lang w:val="en-US" w:eastAsia="zh-CN"/>
        </w:rPr>
        <w:t>保阜高速公路2023年边坡病害治理工程于2023年7月24日中标，中标金额2343443元，于2023年8月21日签订施工合同，合同工期3个月，缺陷责任期12个月，业主单位为保阜高速公路有限公司，设计单位为河北交通规划设计研究院有限公司，监理单位为保定交通建设监理咨询有限公司，施工单位为河北交投路桥建设开发有限公司。施工主要内容:</w:t>
      </w:r>
      <w:bookmarkEnd w:id="222"/>
      <w:bookmarkEnd w:id="223"/>
      <w:bookmarkEnd w:id="224"/>
      <w:bookmarkEnd w:id="225"/>
      <w:bookmarkEnd w:id="226"/>
      <w:bookmarkEnd w:id="227"/>
      <w:bookmarkEnd w:id="228"/>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229" w:name="_Toc15815"/>
      <w:bookmarkStart w:id="230" w:name="_Toc14940"/>
      <w:bookmarkStart w:id="231" w:name="_Toc30072"/>
      <w:bookmarkStart w:id="232" w:name="_Toc804"/>
      <w:bookmarkStart w:id="233" w:name="_Toc29887"/>
      <w:bookmarkStart w:id="234" w:name="_Toc19813"/>
      <w:bookmarkStart w:id="235" w:name="_Toc17795"/>
      <w:r>
        <w:rPr>
          <w:rFonts w:hint="eastAsia" w:asciiTheme="minorEastAsia" w:hAnsiTheme="minorEastAsia" w:eastAsiaTheme="minorEastAsia" w:cstheme="minorEastAsia"/>
          <w:spacing w:val="-4"/>
          <w:sz w:val="24"/>
          <w:szCs w:val="24"/>
          <w:lang w:val="en-US" w:eastAsia="zh-CN"/>
        </w:rPr>
        <w:t>对山西方向K180+600～K180+652段4处和保定方向 K173+768 ~K173+808段等3处上边坡坡面存在落石区域采用主动柔性防护网进行防护，共计处治面积5810平方米。对保定方向 K182+813～K182+958 段上边坡采用锚杆喷射混凝土进行防护，共计喷射C25水泥混凝土 507.1立方米。对保定方向 K256+850 处冲刷损坏的下边坡增设1道 C30 水泥混凝土踏步泄水槽，共计 60延米，浇筑水泥混凝土 29.9 立方米。详见附页工程主要数量表。</w:t>
      </w:r>
      <w:bookmarkEnd w:id="229"/>
      <w:bookmarkEnd w:id="230"/>
      <w:bookmarkEnd w:id="231"/>
      <w:bookmarkEnd w:id="232"/>
      <w:bookmarkEnd w:id="233"/>
      <w:bookmarkEnd w:id="234"/>
      <w:bookmarkEnd w:id="235"/>
    </w:p>
    <w:p>
      <w:pPr>
        <w:pStyle w:val="8"/>
        <w:bidi w:val="0"/>
        <w:ind w:firstLine="482" w:firstLineChars="200"/>
        <w:rPr>
          <w:rFonts w:hint="eastAsia" w:ascii="宋体" w:hAnsi="宋体" w:eastAsia="宋体" w:cs="宋体"/>
          <w:sz w:val="24"/>
          <w:szCs w:val="24"/>
          <w:lang w:val="en-US" w:eastAsia="zh-CN"/>
        </w:rPr>
      </w:pPr>
      <w:bookmarkStart w:id="236" w:name="_Toc2693"/>
      <w:bookmarkStart w:id="237" w:name="_Toc27533"/>
      <w:bookmarkStart w:id="238" w:name="_Toc11036"/>
      <w:bookmarkStart w:id="239" w:name="_Toc27738"/>
      <w:bookmarkStart w:id="240" w:name="_Toc23741"/>
      <w:r>
        <w:rPr>
          <w:rFonts w:hint="eastAsia" w:ascii="宋体" w:hAnsi="宋体" w:eastAsia="宋体" w:cs="宋体"/>
          <w:sz w:val="24"/>
          <w:szCs w:val="24"/>
          <w:lang w:val="en-US" w:eastAsia="zh-CN"/>
        </w:rPr>
        <w:t>2.3工程特点、重难点分析及对策</w:t>
      </w:r>
      <w:bookmarkEnd w:id="236"/>
      <w:bookmarkEnd w:id="237"/>
      <w:bookmarkEnd w:id="238"/>
      <w:bookmarkEnd w:id="239"/>
      <w:bookmarkEnd w:id="240"/>
    </w:p>
    <w:p>
      <w:pPr>
        <w:pStyle w:val="9"/>
        <w:bidi w:val="0"/>
        <w:ind w:firstLine="482" w:firstLineChars="200"/>
        <w:rPr>
          <w:rFonts w:hint="eastAsia" w:ascii="宋体" w:hAnsi="宋体" w:eastAsia="宋体" w:cs="宋体"/>
          <w:sz w:val="24"/>
          <w:szCs w:val="24"/>
          <w:lang w:val="en-US" w:eastAsia="zh-CN"/>
        </w:rPr>
      </w:pPr>
      <w:bookmarkStart w:id="241" w:name="_Toc29332"/>
      <w:bookmarkStart w:id="242" w:name="_Toc18216"/>
      <w:bookmarkStart w:id="243" w:name="_Toc21691"/>
      <w:bookmarkStart w:id="244" w:name="_Toc17099"/>
      <w:bookmarkStart w:id="245" w:name="_Toc18161"/>
      <w:r>
        <w:rPr>
          <w:rFonts w:hint="eastAsia" w:ascii="宋体" w:hAnsi="宋体" w:eastAsia="宋体" w:cs="宋体"/>
          <w:sz w:val="24"/>
          <w:szCs w:val="24"/>
          <w:lang w:val="en-US" w:eastAsia="zh-CN"/>
        </w:rPr>
        <w:t>2.3.1工程特点</w:t>
      </w:r>
      <w:bookmarkEnd w:id="241"/>
      <w:bookmarkEnd w:id="242"/>
      <w:bookmarkEnd w:id="243"/>
      <w:bookmarkEnd w:id="244"/>
      <w:bookmarkEnd w:id="245"/>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246" w:name="_Toc18149"/>
      <w:bookmarkStart w:id="247" w:name="_Toc29309"/>
      <w:bookmarkStart w:id="248" w:name="_Toc1916"/>
      <w:bookmarkStart w:id="249" w:name="_Toc9122"/>
      <w:bookmarkStart w:id="250" w:name="_Toc23475"/>
      <w:bookmarkStart w:id="251" w:name="_Toc14398"/>
      <w:r>
        <w:rPr>
          <w:rFonts w:hint="eastAsia" w:asciiTheme="minorEastAsia" w:hAnsiTheme="minorEastAsia" w:eastAsiaTheme="minorEastAsia" w:cstheme="minorEastAsia"/>
          <w:spacing w:val="-4"/>
          <w:sz w:val="24"/>
          <w:szCs w:val="24"/>
          <w:lang w:val="en-US" w:eastAsia="zh-CN"/>
        </w:rPr>
        <w:t>保阜高速边坡病害治理工程除了高处临边主动柔性网、锚杆喷射砼等施工作业外，还具有点多、分散、施工期间不断交、工期紧及干扰因素多等特点，施工组织难度较大。</w:t>
      </w:r>
      <w:bookmarkEnd w:id="246"/>
      <w:bookmarkEnd w:id="247"/>
      <w:bookmarkEnd w:id="248"/>
      <w:bookmarkEnd w:id="249"/>
      <w:bookmarkEnd w:id="250"/>
      <w:bookmarkEnd w:id="251"/>
    </w:p>
    <w:p>
      <w:pPr>
        <w:pStyle w:val="9"/>
        <w:bidi w:val="0"/>
        <w:ind w:firstLine="482" w:firstLineChars="200"/>
        <w:rPr>
          <w:rFonts w:hint="eastAsia" w:ascii="宋体" w:hAnsi="宋体" w:eastAsia="宋体" w:cs="宋体"/>
          <w:sz w:val="24"/>
          <w:szCs w:val="24"/>
          <w:lang w:val="en-US" w:eastAsia="zh-CN"/>
        </w:rPr>
      </w:pPr>
      <w:bookmarkStart w:id="252" w:name="_Toc10448"/>
      <w:bookmarkStart w:id="253" w:name="_Toc28990"/>
      <w:bookmarkStart w:id="254" w:name="_Toc29298"/>
      <w:bookmarkStart w:id="255" w:name="_Toc30453"/>
      <w:bookmarkStart w:id="256" w:name="_Toc31631"/>
      <w:r>
        <w:rPr>
          <w:rFonts w:hint="eastAsia" w:ascii="宋体" w:hAnsi="宋体" w:eastAsia="宋体" w:cs="宋体"/>
          <w:sz w:val="24"/>
          <w:szCs w:val="24"/>
          <w:lang w:val="en-US" w:eastAsia="zh-CN"/>
        </w:rPr>
        <w:t>2.3.2重点、难点分析及对策</w:t>
      </w:r>
      <w:bookmarkEnd w:id="252"/>
      <w:bookmarkEnd w:id="253"/>
      <w:bookmarkEnd w:id="254"/>
      <w:bookmarkEnd w:id="255"/>
      <w:bookmarkEnd w:id="256"/>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b/>
          <w:bCs/>
          <w:sz w:val="24"/>
          <w:szCs w:val="24"/>
          <w:lang w:val="en-US" w:eastAsia="zh-CN"/>
        </w:rPr>
      </w:pPr>
      <w:bookmarkStart w:id="257" w:name="_Toc21925"/>
      <w:bookmarkStart w:id="258" w:name="_Toc25399"/>
      <w:bookmarkStart w:id="259" w:name="_Toc17425"/>
      <w:bookmarkStart w:id="260" w:name="_Toc30580"/>
      <w:bookmarkStart w:id="261" w:name="_Toc19739"/>
      <w:bookmarkStart w:id="262" w:name="_Toc29803"/>
      <w:bookmarkStart w:id="263" w:name="_Toc20222"/>
      <w:bookmarkStart w:id="264" w:name="_Toc20343"/>
      <w:bookmarkStart w:id="265" w:name="_Toc9341"/>
      <w:bookmarkStart w:id="266" w:name="_Toc30929"/>
      <w:r>
        <w:rPr>
          <w:rFonts w:hint="eastAsia" w:asciiTheme="minorEastAsia" w:hAnsiTheme="minorEastAsia" w:eastAsiaTheme="minorEastAsia" w:cstheme="minorEastAsia"/>
          <w:spacing w:val="-4"/>
          <w:sz w:val="24"/>
          <w:szCs w:val="24"/>
          <w:lang w:val="en-US" w:eastAsia="zh-CN"/>
        </w:rPr>
        <w:t>（1）</w:t>
      </w:r>
      <w:bookmarkEnd w:id="257"/>
      <w:bookmarkEnd w:id="258"/>
      <w:bookmarkEnd w:id="259"/>
      <w:r>
        <w:rPr>
          <w:rFonts w:hint="eastAsia" w:asciiTheme="minorEastAsia" w:hAnsiTheme="minorEastAsia" w:eastAsiaTheme="minorEastAsia" w:cstheme="minorEastAsia"/>
          <w:b w:val="0"/>
          <w:bCs w:val="0"/>
          <w:sz w:val="24"/>
          <w:szCs w:val="24"/>
          <w:lang w:val="en-US" w:eastAsia="zh-CN"/>
        </w:rPr>
        <w:t>不断交施工、安全保障难度大</w:t>
      </w:r>
      <w:bookmarkEnd w:id="260"/>
      <w:bookmarkEnd w:id="261"/>
      <w:bookmarkEnd w:id="262"/>
      <w:bookmarkEnd w:id="263"/>
      <w:bookmarkEnd w:id="264"/>
      <w:bookmarkEnd w:id="265"/>
      <w:bookmarkEnd w:id="266"/>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rPr>
          <w:rFonts w:hint="eastAsia" w:asciiTheme="minorEastAsia" w:hAnsiTheme="minorEastAsia" w:eastAsiaTheme="minorEastAsia" w:cstheme="minorEastAsia"/>
          <w:kern w:val="0"/>
          <w:sz w:val="24"/>
          <w:szCs w:val="24"/>
          <w:lang w:val="en-US" w:eastAsia="zh-CN" w:bidi="ar-SA"/>
        </w:rPr>
      </w:pPr>
      <w:r>
        <w:rPr>
          <w:rFonts w:hint="eastAsia" w:asciiTheme="minorEastAsia" w:hAnsiTheme="minorEastAsia" w:eastAsiaTheme="minorEastAsia" w:cstheme="minorEastAsia"/>
          <w:kern w:val="0"/>
          <w:sz w:val="24"/>
          <w:szCs w:val="24"/>
          <w:lang w:val="en-US" w:eastAsia="zh-CN" w:bidi="ar-SA"/>
        </w:rPr>
        <w:t>不断交施工、高速保畅，施工作业点多、风险点多、安全管理难度大。</w:t>
      </w:r>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rPr>
          <w:rFonts w:hint="eastAsia" w:asciiTheme="minorEastAsia" w:hAnsiTheme="minorEastAsia" w:eastAsiaTheme="minorEastAsia" w:cstheme="minorEastAsia"/>
          <w:kern w:val="0"/>
          <w:sz w:val="24"/>
          <w:szCs w:val="24"/>
          <w:lang w:val="en-US" w:eastAsia="zh-CN" w:bidi="ar-SA"/>
        </w:rPr>
      </w:pPr>
      <w:r>
        <w:rPr>
          <w:rFonts w:hint="eastAsia" w:asciiTheme="minorEastAsia" w:hAnsiTheme="minorEastAsia" w:eastAsiaTheme="minorEastAsia" w:cstheme="minorEastAsia"/>
          <w:kern w:val="0"/>
          <w:sz w:val="24"/>
          <w:szCs w:val="24"/>
          <w:lang w:val="en-US" w:eastAsia="zh-CN" w:bidi="ar-SA"/>
        </w:rPr>
        <w:t>拟定对策：</w:t>
      </w:r>
    </w:p>
    <w:p>
      <w:pPr>
        <w:pStyle w:val="11"/>
        <w:pageBreakBefore w:val="0"/>
        <w:numPr>
          <w:ilvl w:val="0"/>
          <w:numId w:val="1"/>
        </w:numPr>
        <w:kinsoku/>
        <w:wordWrap/>
        <w:overflowPunct/>
        <w:topLinePunct w:val="0"/>
        <w:autoSpaceDE/>
        <w:autoSpaceDN/>
        <w:bidi w:val="0"/>
        <w:adjustRightInd/>
        <w:snapToGrid/>
        <w:spacing w:after="0" w:line="360" w:lineRule="auto"/>
        <w:ind w:left="0" w:leftChars="0" w:firstLine="480" w:firstLineChars="200"/>
        <w:jc w:val="both"/>
        <w:textAlignment w:val="auto"/>
        <w:rPr>
          <w:rFonts w:hint="eastAsia" w:asciiTheme="minorEastAsia" w:hAnsiTheme="minorEastAsia" w:eastAsiaTheme="minorEastAsia" w:cstheme="minorEastAsia"/>
          <w:kern w:val="0"/>
          <w:sz w:val="24"/>
          <w:szCs w:val="24"/>
          <w:lang w:val="en-US" w:eastAsia="zh-CN" w:bidi="ar-SA"/>
        </w:rPr>
      </w:pPr>
      <w:r>
        <w:rPr>
          <w:rFonts w:hint="eastAsia" w:asciiTheme="minorEastAsia" w:hAnsiTheme="minorEastAsia" w:eastAsiaTheme="minorEastAsia" w:cstheme="minorEastAsia"/>
          <w:kern w:val="0"/>
          <w:sz w:val="24"/>
          <w:szCs w:val="24"/>
          <w:lang w:val="en-US" w:eastAsia="zh-CN" w:bidi="ar-SA"/>
        </w:rPr>
        <w:t>详细进行现场踏勘，优化运输路线，根据施工安排，严格按照《公路养护安全技术规范》的要求，确保施工区间的标志、标牌、水马、路锥等安全设施、警示设施的正确摆放，起到安全引导、警示的作用。</w:t>
      </w:r>
    </w:p>
    <w:p>
      <w:pPr>
        <w:pStyle w:val="11"/>
        <w:pageBreakBefore w:val="0"/>
        <w:numPr>
          <w:ilvl w:val="0"/>
          <w:numId w:val="1"/>
        </w:numPr>
        <w:kinsoku/>
        <w:wordWrap/>
        <w:overflowPunct/>
        <w:topLinePunct w:val="0"/>
        <w:autoSpaceDE/>
        <w:autoSpaceDN/>
        <w:bidi w:val="0"/>
        <w:adjustRightInd/>
        <w:snapToGrid/>
        <w:spacing w:after="0" w:line="360" w:lineRule="auto"/>
        <w:ind w:left="0" w:leftChars="0" w:firstLine="480" w:firstLineChars="200"/>
        <w:jc w:val="both"/>
        <w:textAlignment w:val="auto"/>
        <w:rPr>
          <w:rFonts w:hint="eastAsia" w:asciiTheme="minorEastAsia" w:hAnsiTheme="minorEastAsia" w:eastAsiaTheme="minorEastAsia" w:cstheme="minorEastAsia"/>
          <w:kern w:val="0"/>
          <w:sz w:val="24"/>
          <w:szCs w:val="24"/>
          <w:lang w:val="en-US" w:eastAsia="zh-CN" w:bidi="ar-SA"/>
        </w:rPr>
      </w:pPr>
      <w:r>
        <w:rPr>
          <w:rFonts w:hint="eastAsia" w:asciiTheme="minorEastAsia" w:hAnsiTheme="minorEastAsia" w:eastAsiaTheme="minorEastAsia" w:cstheme="minorEastAsia"/>
          <w:kern w:val="0"/>
          <w:sz w:val="24"/>
          <w:szCs w:val="24"/>
          <w:lang w:val="en-US" w:eastAsia="zh-CN" w:bidi="ar-SA"/>
        </w:rPr>
        <w:t>制定详尽隐患风险清单、责任清单、培训计划，切实将安全教育、安全培训，形成人人重安全、人人懂安全、人人管安全的安全管理氛围。</w:t>
      </w:r>
    </w:p>
    <w:p>
      <w:pPr>
        <w:pageBreakBefore w:val="0"/>
        <w:numPr>
          <w:ilvl w:val="0"/>
          <w:numId w:val="1"/>
        </w:numPr>
        <w:kinsoku/>
        <w:wordWrap/>
        <w:overflowPunct/>
        <w:topLinePunct w:val="0"/>
        <w:autoSpaceDE/>
        <w:autoSpaceDN/>
        <w:bidi w:val="0"/>
        <w:adjustRightInd/>
        <w:snapToGrid/>
        <w:spacing w:line="360" w:lineRule="auto"/>
        <w:ind w:left="0" w:leftChars="0" w:firstLine="480" w:firstLineChars="200"/>
        <w:rPr>
          <w:rFonts w:hint="eastAsia" w:asciiTheme="minorEastAsia" w:hAnsiTheme="minorEastAsia" w:eastAsiaTheme="minorEastAsia" w:cstheme="minorEastAsia"/>
          <w:kern w:val="0"/>
          <w:sz w:val="24"/>
          <w:szCs w:val="24"/>
          <w:lang w:val="en-US" w:eastAsia="zh-CN" w:bidi="ar-SA"/>
        </w:rPr>
      </w:pPr>
      <w:r>
        <w:rPr>
          <w:rFonts w:hint="eastAsia" w:asciiTheme="minorEastAsia" w:hAnsiTheme="minorEastAsia" w:eastAsiaTheme="minorEastAsia" w:cstheme="minorEastAsia"/>
          <w:kern w:val="0"/>
          <w:sz w:val="24"/>
          <w:szCs w:val="24"/>
          <w:lang w:val="en-US" w:eastAsia="zh-CN" w:bidi="ar-SA"/>
        </w:rPr>
        <w:t>根据法律法规要求，严格执行《公路养护安全技术规范》，按照每条高速路政、交警要求布置施工区域安全导向标识标牌。</w:t>
      </w:r>
    </w:p>
    <w:p>
      <w:pPr>
        <w:pStyle w:val="11"/>
        <w:pageBreakBefore w:val="0"/>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spacing w:val="-4"/>
          <w:sz w:val="24"/>
          <w:szCs w:val="24"/>
          <w:lang w:val="en-US" w:eastAsia="zh-CN"/>
        </w:rPr>
      </w:pPr>
      <w:r>
        <w:rPr>
          <w:rFonts w:hint="eastAsia" w:asciiTheme="minorEastAsia" w:hAnsiTheme="minorEastAsia" w:eastAsiaTheme="minorEastAsia" w:cstheme="minorEastAsia"/>
          <w:kern w:val="0"/>
          <w:sz w:val="24"/>
          <w:szCs w:val="24"/>
          <w:lang w:val="en-US" w:eastAsia="zh-CN" w:bidi="ar-SA"/>
        </w:rPr>
        <w:t>4）严格每日安全岗前三分钟教育，制定导行样板，每日导行验收后方可进入施工等具体措施。</w:t>
      </w:r>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267" w:name="_Toc21707"/>
      <w:bookmarkStart w:id="268" w:name="_Toc3582"/>
      <w:bookmarkStart w:id="269" w:name="_Toc7328"/>
      <w:bookmarkStart w:id="270" w:name="_Toc29670"/>
      <w:bookmarkStart w:id="271" w:name="_Toc2395"/>
      <w:bookmarkStart w:id="272" w:name="_Toc15789"/>
      <w:bookmarkStart w:id="273" w:name="_Toc21080"/>
      <w:bookmarkStart w:id="274" w:name="_Toc30332"/>
      <w:bookmarkStart w:id="275" w:name="_Toc16559"/>
      <w:bookmarkStart w:id="276" w:name="_Toc7945"/>
      <w:r>
        <w:rPr>
          <w:rFonts w:hint="eastAsia" w:asciiTheme="minorEastAsia" w:hAnsiTheme="minorEastAsia" w:eastAsiaTheme="minorEastAsia" w:cstheme="minorEastAsia"/>
          <w:spacing w:val="-4"/>
          <w:sz w:val="24"/>
          <w:szCs w:val="24"/>
          <w:lang w:val="en-US" w:eastAsia="zh-CN"/>
        </w:rPr>
        <w:t>（2）点多、分散集中管理难度大</w:t>
      </w:r>
      <w:bookmarkEnd w:id="267"/>
      <w:bookmarkEnd w:id="268"/>
      <w:bookmarkEnd w:id="269"/>
      <w:bookmarkEnd w:id="270"/>
      <w:bookmarkEnd w:id="271"/>
      <w:bookmarkEnd w:id="272"/>
      <w:bookmarkEnd w:id="273"/>
      <w:bookmarkEnd w:id="274"/>
      <w:bookmarkEnd w:id="275"/>
      <w:bookmarkEnd w:id="276"/>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277" w:name="_Toc19744"/>
      <w:bookmarkStart w:id="278" w:name="_Toc32026"/>
      <w:bookmarkStart w:id="279" w:name="_Toc9075"/>
      <w:bookmarkStart w:id="280" w:name="_Toc3340"/>
      <w:bookmarkStart w:id="281" w:name="_Toc12552"/>
      <w:bookmarkStart w:id="282" w:name="_Toc26649"/>
      <w:bookmarkStart w:id="283" w:name="_Toc25866"/>
      <w:r>
        <w:rPr>
          <w:rFonts w:hint="eastAsia" w:asciiTheme="minorEastAsia" w:hAnsiTheme="minorEastAsia" w:eastAsiaTheme="minorEastAsia" w:cstheme="minorEastAsia"/>
          <w:spacing w:val="-4"/>
          <w:sz w:val="24"/>
          <w:szCs w:val="24"/>
          <w:lang w:val="en-US" w:eastAsia="zh-CN"/>
        </w:rPr>
        <w:t>项目分散各地，集中管理难度加大，切点多、工序分散交叉，必须结合设计和现场，科学组织合理划分是施工段落，在安全保通的前提下,采取“不改变交通流方向，封闭部分车道施工 ”的交通组织方式，利用“平行、流水”的科学方式组织施工生产，满足项目对工期、质量、安全、文明施工、保畅通等多种要求。</w:t>
      </w:r>
      <w:bookmarkEnd w:id="277"/>
      <w:bookmarkEnd w:id="278"/>
      <w:bookmarkEnd w:id="279"/>
      <w:bookmarkEnd w:id="280"/>
      <w:bookmarkEnd w:id="281"/>
      <w:bookmarkEnd w:id="282"/>
      <w:bookmarkEnd w:id="283"/>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284" w:name="_Toc10298"/>
      <w:bookmarkStart w:id="285" w:name="_Toc17297"/>
      <w:bookmarkStart w:id="286" w:name="_Toc15423"/>
      <w:bookmarkStart w:id="287" w:name="_Toc27979"/>
      <w:bookmarkStart w:id="288" w:name="_Toc10615"/>
      <w:bookmarkStart w:id="289" w:name="_Toc17185"/>
      <w:bookmarkStart w:id="290" w:name="_Toc6808"/>
      <w:bookmarkStart w:id="291" w:name="_Toc19502"/>
      <w:bookmarkStart w:id="292" w:name="_Toc22146"/>
      <w:bookmarkStart w:id="293" w:name="_Toc3541"/>
      <w:r>
        <w:rPr>
          <w:rFonts w:hint="eastAsia" w:asciiTheme="minorEastAsia" w:hAnsiTheme="minorEastAsia" w:eastAsiaTheme="minorEastAsia" w:cstheme="minorEastAsia"/>
          <w:spacing w:val="-4"/>
          <w:sz w:val="24"/>
          <w:szCs w:val="24"/>
          <w:lang w:val="en-US" w:eastAsia="zh-CN"/>
        </w:rPr>
        <w:t>（3）质量控制难点重点分析</w:t>
      </w:r>
      <w:bookmarkEnd w:id="284"/>
      <w:bookmarkEnd w:id="285"/>
      <w:bookmarkEnd w:id="286"/>
      <w:r>
        <w:rPr>
          <w:rFonts w:hint="eastAsia" w:asciiTheme="minorEastAsia" w:hAnsiTheme="minorEastAsia" w:eastAsiaTheme="minorEastAsia" w:cstheme="minorEastAsia"/>
          <w:spacing w:val="-4"/>
          <w:sz w:val="24"/>
          <w:szCs w:val="24"/>
          <w:lang w:val="en-US" w:eastAsia="zh-CN"/>
        </w:rPr>
        <w:t>及对策</w:t>
      </w:r>
      <w:bookmarkEnd w:id="287"/>
      <w:bookmarkEnd w:id="288"/>
      <w:bookmarkEnd w:id="289"/>
      <w:bookmarkEnd w:id="290"/>
      <w:bookmarkEnd w:id="291"/>
      <w:bookmarkEnd w:id="292"/>
      <w:bookmarkEnd w:id="293"/>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294" w:name="_Toc26345"/>
      <w:bookmarkStart w:id="295" w:name="_Toc581"/>
      <w:bookmarkStart w:id="296" w:name="_Toc14337"/>
      <w:bookmarkStart w:id="297" w:name="_Toc6050"/>
      <w:bookmarkStart w:id="298" w:name="_Toc31495"/>
      <w:bookmarkStart w:id="299" w:name="_Toc12009"/>
      <w:bookmarkStart w:id="300" w:name="_Toc8990"/>
      <w:r>
        <w:rPr>
          <w:rFonts w:hint="eastAsia" w:asciiTheme="minorEastAsia" w:hAnsiTheme="minorEastAsia" w:eastAsiaTheme="minorEastAsia" w:cstheme="minorEastAsia"/>
          <w:spacing w:val="-4"/>
          <w:sz w:val="24"/>
          <w:szCs w:val="24"/>
          <w:lang w:val="en-US" w:eastAsia="zh-CN"/>
        </w:rPr>
        <w:t>保阜高速边坡病害治理中采用主动柔性网和锚杆喷射砼进行上边坡防护是重点，确保边坡防护施工质量是本项工程的质量控制重点。</w:t>
      </w:r>
      <w:bookmarkEnd w:id="294"/>
      <w:bookmarkEnd w:id="295"/>
      <w:bookmarkEnd w:id="296"/>
      <w:bookmarkEnd w:id="297"/>
      <w:bookmarkEnd w:id="298"/>
      <w:bookmarkEnd w:id="299"/>
      <w:bookmarkEnd w:id="300"/>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301" w:name="_Toc2665"/>
      <w:bookmarkStart w:id="302" w:name="_Toc28835"/>
      <w:bookmarkStart w:id="303" w:name="_Toc3033"/>
      <w:bookmarkStart w:id="304" w:name="_Toc17918"/>
      <w:bookmarkStart w:id="305" w:name="_Toc19698"/>
      <w:bookmarkStart w:id="306" w:name="_Toc2556"/>
      <w:bookmarkStart w:id="307" w:name="_Toc27799"/>
      <w:r>
        <w:rPr>
          <w:rFonts w:hint="eastAsia" w:asciiTheme="minorEastAsia" w:hAnsiTheme="minorEastAsia" w:eastAsiaTheme="minorEastAsia" w:cstheme="minorEastAsia"/>
          <w:spacing w:val="-4"/>
          <w:sz w:val="24"/>
          <w:szCs w:val="24"/>
          <w:lang w:val="en-US" w:eastAsia="zh-CN"/>
        </w:rPr>
        <w:t>在施工过程中加强对全体参建人员，包括所有的施工技术人员、管理人员、现场作业人员进行进行技术和技能培训，以提高施工技术水平。</w:t>
      </w:r>
      <w:bookmarkEnd w:id="301"/>
      <w:bookmarkEnd w:id="302"/>
      <w:bookmarkEnd w:id="303"/>
      <w:bookmarkEnd w:id="304"/>
      <w:bookmarkEnd w:id="305"/>
      <w:bookmarkEnd w:id="306"/>
      <w:bookmarkEnd w:id="307"/>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308" w:name="_Toc5168"/>
      <w:bookmarkStart w:id="309" w:name="_Toc30227"/>
      <w:bookmarkStart w:id="310" w:name="_Toc26994"/>
      <w:bookmarkStart w:id="311" w:name="_Toc30081"/>
      <w:bookmarkStart w:id="312" w:name="_Toc25829"/>
      <w:bookmarkStart w:id="313" w:name="_Toc28366"/>
      <w:bookmarkStart w:id="314" w:name="_Toc16617"/>
      <w:r>
        <w:rPr>
          <w:rFonts w:hint="eastAsia" w:asciiTheme="minorEastAsia" w:hAnsiTheme="minorEastAsia" w:eastAsiaTheme="minorEastAsia" w:cstheme="minorEastAsia"/>
          <w:spacing w:val="-4"/>
          <w:sz w:val="24"/>
          <w:szCs w:val="24"/>
          <w:lang w:val="en-US" w:eastAsia="zh-CN"/>
        </w:rPr>
        <w:t>严格控制材料的质量标准、材料的检验（试验）、材料的选择和使用要求，材料采购力求货比三家、择优选用。</w:t>
      </w:r>
      <w:bookmarkEnd w:id="308"/>
      <w:bookmarkEnd w:id="309"/>
      <w:bookmarkEnd w:id="310"/>
      <w:bookmarkEnd w:id="311"/>
      <w:bookmarkEnd w:id="312"/>
      <w:bookmarkEnd w:id="313"/>
      <w:bookmarkEnd w:id="314"/>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315" w:name="_Toc10839"/>
      <w:bookmarkStart w:id="316" w:name="_Toc17228"/>
      <w:bookmarkStart w:id="317" w:name="_Toc7553"/>
      <w:bookmarkStart w:id="318" w:name="_Toc19302"/>
      <w:bookmarkStart w:id="319" w:name="_Toc30050"/>
      <w:bookmarkStart w:id="320" w:name="_Toc10998"/>
      <w:bookmarkStart w:id="321" w:name="_Toc18322"/>
      <w:r>
        <w:rPr>
          <w:rFonts w:hint="eastAsia" w:asciiTheme="minorEastAsia" w:hAnsiTheme="minorEastAsia" w:eastAsiaTheme="minorEastAsia" w:cstheme="minorEastAsia"/>
          <w:spacing w:val="-4"/>
          <w:sz w:val="24"/>
          <w:szCs w:val="24"/>
          <w:lang w:val="en-US" w:eastAsia="zh-CN"/>
        </w:rPr>
        <w:t>严格控制机械设备的选型、机械设备的重要性能参数、机械设备用及操作要求、机械设备的完好程度。</w:t>
      </w:r>
      <w:bookmarkEnd w:id="315"/>
      <w:bookmarkEnd w:id="316"/>
      <w:bookmarkEnd w:id="317"/>
      <w:bookmarkEnd w:id="318"/>
      <w:bookmarkEnd w:id="319"/>
      <w:bookmarkEnd w:id="320"/>
      <w:bookmarkEnd w:id="321"/>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322" w:name="_Toc32184"/>
      <w:bookmarkStart w:id="323" w:name="_Toc20767"/>
      <w:bookmarkStart w:id="324" w:name="_Toc23692"/>
      <w:bookmarkStart w:id="325" w:name="_Toc18558"/>
      <w:bookmarkStart w:id="326" w:name="_Toc13030"/>
      <w:bookmarkStart w:id="327" w:name="_Toc25877"/>
      <w:bookmarkStart w:id="328" w:name="_Toc20005"/>
      <w:r>
        <w:rPr>
          <w:rFonts w:hint="eastAsia" w:asciiTheme="minorEastAsia" w:hAnsiTheme="minorEastAsia" w:eastAsiaTheme="minorEastAsia" w:cstheme="minorEastAsia"/>
          <w:spacing w:val="-4"/>
          <w:sz w:val="24"/>
          <w:szCs w:val="24"/>
          <w:lang w:val="en-US" w:eastAsia="zh-CN"/>
        </w:rPr>
        <w:t>严格控制方案的技术可行性、组织的严密性、管理的科学性、经济的合理性。编制切实可行的实施性施工方案与重点、难点工程的作业指导书，做到试验先行，质量一票否决。严格隐蔽工程处治检查及监测，充分发挥质量保证体系、质量管理制度的管理作用。</w:t>
      </w:r>
      <w:bookmarkEnd w:id="322"/>
      <w:bookmarkEnd w:id="323"/>
      <w:bookmarkEnd w:id="324"/>
      <w:bookmarkEnd w:id="325"/>
      <w:bookmarkEnd w:id="326"/>
      <w:bookmarkEnd w:id="327"/>
      <w:bookmarkEnd w:id="328"/>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329" w:name="_Toc20274"/>
      <w:bookmarkStart w:id="330" w:name="_Toc12505"/>
      <w:bookmarkStart w:id="331" w:name="_Toc12185"/>
      <w:bookmarkStart w:id="332" w:name="_Toc2538"/>
      <w:bookmarkStart w:id="333" w:name="_Toc10681"/>
      <w:bookmarkStart w:id="334" w:name="_Toc6831"/>
      <w:bookmarkStart w:id="335" w:name="_Toc18648"/>
      <w:r>
        <w:rPr>
          <w:rFonts w:hint="eastAsia" w:asciiTheme="minorEastAsia" w:hAnsiTheme="minorEastAsia" w:eastAsiaTheme="minorEastAsia" w:cstheme="minorEastAsia"/>
          <w:spacing w:val="-4"/>
          <w:sz w:val="24"/>
          <w:szCs w:val="24"/>
          <w:lang w:val="en-US" w:eastAsia="zh-CN"/>
        </w:rPr>
        <w:t>（4）质量通病的控制：加强对钻孔深度、柔性网强度韧性、砼强度等通病的管理力度，制定详尽的预防措施，避免出现质量问题。</w:t>
      </w:r>
      <w:bookmarkEnd w:id="329"/>
      <w:bookmarkEnd w:id="330"/>
      <w:bookmarkEnd w:id="331"/>
      <w:bookmarkEnd w:id="332"/>
      <w:bookmarkEnd w:id="333"/>
      <w:bookmarkEnd w:id="334"/>
      <w:bookmarkEnd w:id="335"/>
    </w:p>
    <w:p>
      <w:pPr>
        <w:pStyle w:val="7"/>
        <w:bidi w:val="0"/>
        <w:ind w:firstLine="562" w:firstLineChars="200"/>
        <w:rPr>
          <w:rFonts w:hint="eastAsia" w:ascii="宋体" w:hAnsi="宋体" w:eastAsia="宋体" w:cs="宋体"/>
          <w:sz w:val="28"/>
          <w:szCs w:val="28"/>
        </w:rPr>
      </w:pPr>
      <w:bookmarkStart w:id="336" w:name="_Toc9779"/>
      <w:bookmarkStart w:id="337" w:name="_Toc10535"/>
      <w:bookmarkStart w:id="338" w:name="_Toc17515"/>
      <w:r>
        <w:rPr>
          <w:rFonts w:hint="eastAsia" w:ascii="宋体" w:hAnsi="宋体" w:eastAsia="宋体" w:cs="宋体"/>
          <w:sz w:val="28"/>
          <w:szCs w:val="28"/>
        </w:rPr>
        <w:t>3、总体施工组织布置及规划</w:t>
      </w:r>
      <w:bookmarkEnd w:id="336"/>
      <w:bookmarkEnd w:id="337"/>
      <w:bookmarkEnd w:id="338"/>
    </w:p>
    <w:p>
      <w:pPr>
        <w:pStyle w:val="8"/>
        <w:bidi w:val="0"/>
        <w:ind w:firstLine="482" w:firstLineChars="200"/>
        <w:rPr>
          <w:rFonts w:hint="eastAsia"/>
          <w:sz w:val="24"/>
          <w:szCs w:val="24"/>
          <w:lang w:val="en-US" w:eastAsia="zh-CN"/>
        </w:rPr>
      </w:pPr>
      <w:bookmarkStart w:id="339" w:name="_Toc12316"/>
      <w:bookmarkStart w:id="340" w:name="_Toc4141"/>
      <w:bookmarkStart w:id="341" w:name="_Toc32341"/>
      <w:bookmarkStart w:id="342" w:name="_Toc29634"/>
      <w:bookmarkStart w:id="343" w:name="_Toc5622"/>
      <w:r>
        <w:rPr>
          <w:rFonts w:hint="eastAsia" w:ascii="宋体" w:hAnsi="宋体" w:eastAsia="宋体" w:cs="宋体"/>
          <w:sz w:val="24"/>
          <w:szCs w:val="24"/>
          <w:lang w:val="en-US" w:eastAsia="zh-CN"/>
        </w:rPr>
        <w:t>3.1施工目标</w:t>
      </w:r>
      <w:bookmarkEnd w:id="339"/>
      <w:bookmarkEnd w:id="340"/>
      <w:bookmarkEnd w:id="341"/>
      <w:bookmarkEnd w:id="342"/>
      <w:bookmarkEnd w:id="343"/>
    </w:p>
    <w:p>
      <w:pPr>
        <w:pStyle w:val="9"/>
        <w:bidi w:val="0"/>
        <w:ind w:firstLine="482" w:firstLineChars="200"/>
        <w:rPr>
          <w:rFonts w:hint="eastAsia"/>
          <w:sz w:val="24"/>
          <w:szCs w:val="24"/>
          <w:lang w:val="en-US" w:eastAsia="zh-CN"/>
        </w:rPr>
      </w:pPr>
      <w:bookmarkStart w:id="344" w:name="_Toc24534"/>
      <w:bookmarkStart w:id="345" w:name="_Toc11658"/>
      <w:bookmarkStart w:id="346" w:name="_Toc25825"/>
      <w:bookmarkStart w:id="347" w:name="_Toc16138"/>
      <w:bookmarkStart w:id="348" w:name="_Toc53"/>
      <w:bookmarkStart w:id="349" w:name="_Toc10044"/>
      <w:bookmarkStart w:id="350" w:name="_Toc179"/>
      <w:r>
        <w:rPr>
          <w:rFonts w:hint="eastAsia" w:ascii="宋体" w:hAnsi="宋体" w:eastAsia="宋体" w:cs="宋体"/>
          <w:sz w:val="24"/>
          <w:szCs w:val="24"/>
          <w:lang w:val="en-US" w:eastAsia="zh-CN"/>
        </w:rPr>
        <w:t>3.1.1工期目标</w:t>
      </w:r>
      <w:bookmarkEnd w:id="344"/>
      <w:bookmarkEnd w:id="345"/>
      <w:bookmarkEnd w:id="346"/>
      <w:bookmarkEnd w:id="347"/>
      <w:bookmarkEnd w:id="348"/>
      <w:bookmarkEnd w:id="349"/>
      <w:bookmarkEnd w:id="350"/>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0"/>
          <w:sz w:val="24"/>
          <w:szCs w:val="24"/>
          <w:lang w:val="en-US" w:eastAsia="zh-CN"/>
        </w:rPr>
      </w:pPr>
      <w:r>
        <w:rPr>
          <w:rFonts w:hint="eastAsia" w:asciiTheme="minorEastAsia" w:hAnsiTheme="minorEastAsia" w:eastAsiaTheme="minorEastAsia" w:cstheme="minorEastAsia"/>
          <w:kern w:val="0"/>
          <w:sz w:val="24"/>
          <w:szCs w:val="24"/>
          <w:lang w:val="en-US" w:eastAsia="zh-CN"/>
        </w:rPr>
        <w:t>保阜高速公路2023年边坡病害治理工程计划开工日期为2023年</w:t>
      </w:r>
      <w:r>
        <w:rPr>
          <w:rFonts w:hint="eastAsia" w:asciiTheme="minorEastAsia" w:hAnsiTheme="minorEastAsia" w:cstheme="minorEastAsia"/>
          <w:kern w:val="0"/>
          <w:sz w:val="24"/>
          <w:szCs w:val="24"/>
          <w:lang w:val="en-US" w:eastAsia="zh-CN"/>
        </w:rPr>
        <w:t>9</w:t>
      </w:r>
      <w:r>
        <w:rPr>
          <w:rFonts w:hint="eastAsia" w:asciiTheme="minorEastAsia" w:hAnsiTheme="minorEastAsia" w:eastAsiaTheme="minorEastAsia" w:cstheme="minorEastAsia"/>
          <w:kern w:val="0"/>
          <w:sz w:val="24"/>
          <w:szCs w:val="24"/>
          <w:lang w:val="en-US" w:eastAsia="zh-CN"/>
        </w:rPr>
        <w:t>月</w:t>
      </w:r>
      <w:r>
        <w:rPr>
          <w:rFonts w:hint="eastAsia" w:asciiTheme="minorEastAsia" w:hAnsiTheme="minorEastAsia" w:cstheme="minorEastAsia"/>
          <w:kern w:val="0"/>
          <w:sz w:val="24"/>
          <w:szCs w:val="24"/>
          <w:lang w:val="en-US" w:eastAsia="zh-CN"/>
        </w:rPr>
        <w:t>初</w:t>
      </w:r>
      <w:r>
        <w:rPr>
          <w:rFonts w:hint="eastAsia" w:asciiTheme="minorEastAsia" w:hAnsiTheme="minorEastAsia" w:eastAsiaTheme="minorEastAsia" w:cstheme="minorEastAsia"/>
          <w:kern w:val="0"/>
          <w:sz w:val="24"/>
          <w:szCs w:val="24"/>
          <w:lang w:val="en-US" w:eastAsia="zh-CN"/>
        </w:rPr>
        <w:t>，</w:t>
      </w:r>
      <w:r>
        <w:rPr>
          <w:rFonts w:hint="eastAsia" w:asciiTheme="minorEastAsia" w:hAnsiTheme="minorEastAsia" w:cstheme="minorEastAsia"/>
          <w:kern w:val="0"/>
          <w:sz w:val="24"/>
          <w:szCs w:val="24"/>
          <w:lang w:val="en-US" w:eastAsia="zh-CN"/>
        </w:rPr>
        <w:t>预计完工日期为2023年10月底，合同</w:t>
      </w:r>
      <w:r>
        <w:rPr>
          <w:rFonts w:hint="eastAsia" w:asciiTheme="minorEastAsia" w:hAnsiTheme="minorEastAsia" w:eastAsiaTheme="minorEastAsia" w:cstheme="minorEastAsia"/>
          <w:kern w:val="0"/>
          <w:sz w:val="24"/>
          <w:szCs w:val="24"/>
          <w:lang w:val="en-US" w:eastAsia="zh-CN"/>
        </w:rPr>
        <w:t>工期3个月，缺陷责任期12个月。</w:t>
      </w:r>
    </w:p>
    <w:p>
      <w:pPr>
        <w:pStyle w:val="9"/>
        <w:bidi w:val="0"/>
        <w:ind w:firstLine="482" w:firstLineChars="200"/>
        <w:rPr>
          <w:rFonts w:hint="eastAsia" w:ascii="宋体" w:hAnsi="宋体" w:eastAsia="宋体" w:cs="宋体"/>
          <w:sz w:val="24"/>
          <w:szCs w:val="24"/>
          <w:lang w:val="en-US" w:eastAsia="zh-CN"/>
        </w:rPr>
      </w:pPr>
      <w:bookmarkStart w:id="351" w:name="_Toc26270"/>
      <w:bookmarkStart w:id="352" w:name="_Toc16942"/>
      <w:bookmarkStart w:id="353" w:name="_Toc26240"/>
      <w:bookmarkStart w:id="354" w:name="_Toc15494"/>
      <w:bookmarkStart w:id="355" w:name="_Toc5797"/>
      <w:bookmarkStart w:id="356" w:name="_Toc29888"/>
      <w:bookmarkStart w:id="357" w:name="_Toc4568"/>
      <w:r>
        <w:rPr>
          <w:rFonts w:hint="eastAsia" w:ascii="宋体" w:hAnsi="宋体" w:eastAsia="宋体" w:cs="宋体"/>
          <w:sz w:val="24"/>
          <w:szCs w:val="24"/>
          <w:lang w:val="en-US" w:eastAsia="zh-CN"/>
        </w:rPr>
        <w:t>3.1.2质量目标</w:t>
      </w:r>
      <w:bookmarkEnd w:id="351"/>
      <w:bookmarkEnd w:id="352"/>
      <w:bookmarkEnd w:id="353"/>
      <w:bookmarkEnd w:id="354"/>
      <w:bookmarkEnd w:id="355"/>
      <w:bookmarkEnd w:id="356"/>
      <w:bookmarkEnd w:id="357"/>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0"/>
          <w:sz w:val="24"/>
          <w:szCs w:val="24"/>
          <w:lang w:val="en-US" w:eastAsia="zh-CN"/>
        </w:rPr>
      </w:pPr>
      <w:r>
        <w:rPr>
          <w:rFonts w:hint="eastAsia" w:asciiTheme="minorEastAsia" w:hAnsiTheme="minorEastAsia" w:eastAsiaTheme="minorEastAsia" w:cstheme="minorEastAsia"/>
          <w:kern w:val="0"/>
          <w:sz w:val="24"/>
          <w:szCs w:val="24"/>
          <w:lang w:val="en-US" w:eastAsia="zh-CN"/>
        </w:rPr>
        <w:t>工程交（竣）工验收的质量评定：合格；养护单元及养护工程一次验收合格率100%。</w:t>
      </w:r>
    </w:p>
    <w:p>
      <w:pPr>
        <w:pStyle w:val="9"/>
        <w:bidi w:val="0"/>
        <w:ind w:firstLine="482" w:firstLineChars="200"/>
        <w:rPr>
          <w:rFonts w:hint="eastAsia" w:ascii="宋体" w:hAnsi="宋体" w:eastAsia="宋体" w:cs="宋体"/>
          <w:sz w:val="24"/>
          <w:szCs w:val="24"/>
          <w:lang w:val="en-US" w:eastAsia="zh-CN"/>
        </w:rPr>
      </w:pPr>
      <w:bookmarkStart w:id="358" w:name="_Toc10169"/>
      <w:bookmarkStart w:id="359" w:name="_Toc14984"/>
      <w:bookmarkStart w:id="360" w:name="_Toc12841"/>
      <w:bookmarkStart w:id="361" w:name="_Toc9090"/>
      <w:bookmarkStart w:id="362" w:name="_Toc21887"/>
      <w:bookmarkStart w:id="363" w:name="_Toc18091"/>
      <w:bookmarkStart w:id="364" w:name="_Toc32268"/>
      <w:r>
        <w:rPr>
          <w:rFonts w:hint="eastAsia" w:ascii="宋体" w:hAnsi="宋体" w:eastAsia="宋体" w:cs="宋体"/>
          <w:sz w:val="24"/>
          <w:szCs w:val="24"/>
          <w:lang w:val="en-US" w:eastAsia="zh-CN"/>
        </w:rPr>
        <w:t>3.1.3安全目标</w:t>
      </w:r>
      <w:bookmarkEnd w:id="358"/>
      <w:bookmarkEnd w:id="359"/>
      <w:bookmarkEnd w:id="360"/>
      <w:bookmarkEnd w:id="361"/>
      <w:bookmarkEnd w:id="362"/>
      <w:bookmarkEnd w:id="363"/>
      <w:bookmarkEnd w:id="364"/>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outlineLvl w:val="1"/>
        <w:rPr>
          <w:rFonts w:hint="eastAsia" w:asciiTheme="minorEastAsia" w:hAnsiTheme="minorEastAsia" w:eastAsiaTheme="minorEastAsia" w:cstheme="minorEastAsia"/>
          <w:sz w:val="24"/>
          <w:lang w:val="en-US"/>
        </w:rPr>
      </w:pPr>
      <w:bookmarkStart w:id="365" w:name="_Toc27596"/>
      <w:bookmarkStart w:id="366" w:name="_Toc23882"/>
      <w:bookmarkStart w:id="367" w:name="_Toc26901"/>
      <w:bookmarkStart w:id="368" w:name="_Toc681"/>
      <w:bookmarkStart w:id="369" w:name="_Toc13082"/>
      <w:bookmarkStart w:id="370" w:name="_Toc17132"/>
      <w:bookmarkStart w:id="371" w:name="_Toc12815"/>
      <w:r>
        <w:rPr>
          <w:rFonts w:hint="eastAsia" w:asciiTheme="minorEastAsia" w:hAnsiTheme="minorEastAsia" w:eastAsiaTheme="minorEastAsia" w:cstheme="minorEastAsia"/>
          <w:sz w:val="24"/>
          <w:lang w:val="en-US" w:eastAsia="zh-CN"/>
        </w:rPr>
        <w:t>安全目标：</w:t>
      </w:r>
      <w:r>
        <w:rPr>
          <w:rFonts w:hint="eastAsia" w:asciiTheme="minorEastAsia" w:hAnsiTheme="minorEastAsia" w:eastAsiaTheme="minorEastAsia" w:cstheme="minorEastAsia"/>
          <w:sz w:val="24"/>
          <w:lang w:val="en-US"/>
        </w:rPr>
        <w:t>不发生</w:t>
      </w:r>
      <w:r>
        <w:rPr>
          <w:rFonts w:hint="eastAsia" w:asciiTheme="minorEastAsia" w:hAnsiTheme="minorEastAsia" w:eastAsiaTheme="minorEastAsia" w:cstheme="minorEastAsia"/>
          <w:sz w:val="24"/>
          <w:lang w:val="en-US" w:eastAsia="zh-CN"/>
        </w:rPr>
        <w:t>较大及以上</w:t>
      </w:r>
      <w:r>
        <w:rPr>
          <w:rFonts w:hint="eastAsia" w:asciiTheme="minorEastAsia" w:hAnsiTheme="minorEastAsia" w:eastAsiaTheme="minorEastAsia" w:cstheme="minorEastAsia"/>
          <w:sz w:val="24"/>
          <w:lang w:val="en-US"/>
        </w:rPr>
        <w:t>安全生产责任事故</w:t>
      </w:r>
      <w:bookmarkEnd w:id="365"/>
      <w:bookmarkEnd w:id="366"/>
      <w:bookmarkEnd w:id="367"/>
      <w:bookmarkEnd w:id="368"/>
      <w:bookmarkEnd w:id="369"/>
      <w:bookmarkEnd w:id="370"/>
      <w:bookmarkEnd w:id="371"/>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0"/>
          <w:sz w:val="24"/>
          <w:szCs w:val="24"/>
          <w:lang w:val="en-US" w:eastAsia="zh-CN"/>
        </w:rPr>
      </w:pPr>
      <w:r>
        <w:rPr>
          <w:rFonts w:hint="eastAsia" w:asciiTheme="minorEastAsia" w:hAnsiTheme="minorEastAsia" w:cstheme="minorEastAsia"/>
          <w:kern w:val="0"/>
          <w:sz w:val="24"/>
          <w:szCs w:val="24"/>
          <w:lang w:val="en-US" w:eastAsia="zh-CN"/>
        </w:rPr>
        <w:t>安全</w:t>
      </w:r>
      <w:r>
        <w:rPr>
          <w:rFonts w:hint="eastAsia" w:asciiTheme="minorEastAsia" w:hAnsiTheme="minorEastAsia" w:eastAsiaTheme="minorEastAsia" w:cstheme="minorEastAsia"/>
          <w:kern w:val="0"/>
          <w:sz w:val="24"/>
          <w:szCs w:val="24"/>
          <w:lang w:val="en-US" w:eastAsia="zh-CN"/>
        </w:rPr>
        <w:t>具体控制目标：不因未履行安全职责或履职不到位，造成人员死亡、重伤等生产安全事故、火灾事故、责任交通事故、新增职业病人员、发生重大事故隐患，做到本项目零事故发生。</w:t>
      </w:r>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0"/>
          <w:sz w:val="24"/>
          <w:szCs w:val="24"/>
          <w:lang w:val="en-US" w:eastAsia="zh-CN"/>
        </w:rPr>
      </w:pPr>
      <w:r>
        <w:rPr>
          <w:rFonts w:hint="eastAsia" w:asciiTheme="minorEastAsia" w:hAnsiTheme="minorEastAsia" w:cstheme="minorEastAsia"/>
          <w:kern w:val="0"/>
          <w:sz w:val="24"/>
          <w:szCs w:val="24"/>
          <w:lang w:val="en-US" w:eastAsia="zh-CN"/>
        </w:rPr>
        <w:t>安全</w:t>
      </w:r>
      <w:r>
        <w:rPr>
          <w:rFonts w:hint="eastAsia" w:asciiTheme="minorEastAsia" w:hAnsiTheme="minorEastAsia" w:eastAsiaTheme="minorEastAsia" w:cstheme="minorEastAsia"/>
          <w:kern w:val="0"/>
          <w:sz w:val="24"/>
          <w:szCs w:val="24"/>
          <w:lang w:val="en-US" w:eastAsia="zh-CN"/>
        </w:rPr>
        <w:t>工作目标：安全生产目标责任书签订率100%；相关方安全生产协议签订率100%；风险告知率100%；安全管理人员到位率100%；隐患排查治理完成率100%；</w:t>
      </w:r>
      <w:r>
        <w:rPr>
          <w:rFonts w:hint="eastAsia" w:asciiTheme="minorEastAsia" w:hAnsiTheme="minorEastAsia" w:cstheme="minorEastAsia"/>
          <w:kern w:val="0"/>
          <w:sz w:val="24"/>
          <w:szCs w:val="24"/>
          <w:lang w:val="en-US" w:eastAsia="zh-CN"/>
        </w:rPr>
        <w:t>技术交底及</w:t>
      </w:r>
      <w:r>
        <w:rPr>
          <w:rFonts w:hint="eastAsia" w:asciiTheme="minorEastAsia" w:hAnsiTheme="minorEastAsia" w:eastAsiaTheme="minorEastAsia" w:cstheme="minorEastAsia"/>
          <w:kern w:val="0"/>
          <w:sz w:val="24"/>
          <w:szCs w:val="24"/>
          <w:lang w:val="en-US" w:eastAsia="zh-CN"/>
        </w:rPr>
        <w:t>教育培训覆盖率100%；特种作业人员、特种设备操作人员持证上岗率100%；应急演练按计划开展率100%。</w:t>
      </w:r>
    </w:p>
    <w:p>
      <w:pPr>
        <w:pStyle w:val="9"/>
        <w:bidi w:val="0"/>
        <w:ind w:firstLine="482" w:firstLineChars="200"/>
        <w:rPr>
          <w:rFonts w:hint="eastAsia" w:ascii="宋体" w:hAnsi="宋体" w:eastAsia="宋体" w:cs="宋体"/>
          <w:sz w:val="24"/>
          <w:szCs w:val="24"/>
          <w:lang w:val="en-US" w:eastAsia="zh-CN"/>
        </w:rPr>
      </w:pPr>
      <w:bookmarkStart w:id="372" w:name="_Toc17923"/>
      <w:bookmarkStart w:id="373" w:name="_Toc24473"/>
      <w:bookmarkStart w:id="374" w:name="_Toc20453"/>
      <w:bookmarkStart w:id="375" w:name="_Toc31876"/>
      <w:bookmarkStart w:id="376" w:name="_Toc24230"/>
      <w:bookmarkStart w:id="377" w:name="_Toc10388"/>
      <w:bookmarkStart w:id="378" w:name="_Toc25788"/>
      <w:r>
        <w:rPr>
          <w:rFonts w:hint="eastAsia" w:ascii="宋体" w:hAnsi="宋体" w:eastAsia="宋体" w:cs="宋体"/>
          <w:sz w:val="24"/>
          <w:szCs w:val="24"/>
          <w:lang w:val="en-US" w:eastAsia="zh-CN"/>
        </w:rPr>
        <w:t>3.1.4交通保畅目标</w:t>
      </w:r>
      <w:bookmarkEnd w:id="372"/>
      <w:bookmarkEnd w:id="373"/>
      <w:bookmarkEnd w:id="374"/>
      <w:bookmarkEnd w:id="375"/>
      <w:bookmarkEnd w:id="376"/>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outlineLvl w:val="1"/>
        <w:rPr>
          <w:rFonts w:hint="eastAsia" w:asciiTheme="minorEastAsia" w:hAnsiTheme="minorEastAsia" w:eastAsiaTheme="minorEastAsia" w:cstheme="minorEastAsia"/>
          <w:sz w:val="24"/>
          <w:lang w:val="en-US" w:eastAsia="zh-CN"/>
        </w:rPr>
      </w:pPr>
      <w:bookmarkStart w:id="379" w:name="_Toc2882"/>
      <w:bookmarkStart w:id="380" w:name="_Toc16987"/>
      <w:bookmarkStart w:id="381" w:name="_Toc32535"/>
      <w:bookmarkStart w:id="382" w:name="_Toc28357"/>
      <w:bookmarkStart w:id="383" w:name="_Toc12307"/>
      <w:bookmarkStart w:id="384" w:name="_Toc30808"/>
      <w:bookmarkStart w:id="385" w:name="_Toc21558"/>
      <w:r>
        <w:rPr>
          <w:rFonts w:hint="eastAsia" w:asciiTheme="minorEastAsia" w:hAnsiTheme="minorEastAsia" w:eastAsiaTheme="minorEastAsia" w:cstheme="minorEastAsia"/>
          <w:sz w:val="24"/>
          <w:lang w:val="en-US" w:eastAsia="zh-CN"/>
        </w:rPr>
        <w:t>成立交通交通组织保畅领导小组，制定交通组织方案、交通保畅方案及应急预案措施，加强与交警、路政等部门的联系，做好交通疏导及安全防护，保证施工车辆及其他过往车辆畅通无阻。</w:t>
      </w:r>
      <w:bookmarkEnd w:id="379"/>
      <w:bookmarkEnd w:id="380"/>
      <w:bookmarkEnd w:id="381"/>
      <w:bookmarkEnd w:id="382"/>
      <w:bookmarkEnd w:id="383"/>
      <w:bookmarkEnd w:id="384"/>
      <w:bookmarkEnd w:id="385"/>
    </w:p>
    <w:p>
      <w:pPr>
        <w:pStyle w:val="9"/>
        <w:bidi w:val="0"/>
        <w:ind w:firstLine="482" w:firstLineChars="200"/>
        <w:rPr>
          <w:rFonts w:hint="eastAsia" w:ascii="宋体" w:hAnsi="宋体" w:eastAsia="宋体" w:cs="宋体"/>
          <w:sz w:val="24"/>
          <w:szCs w:val="24"/>
          <w:lang w:val="en-US" w:eastAsia="zh-CN"/>
        </w:rPr>
      </w:pPr>
      <w:bookmarkStart w:id="386" w:name="_Toc2827"/>
      <w:bookmarkStart w:id="387" w:name="_Toc22536"/>
      <w:bookmarkStart w:id="388" w:name="_Toc15584"/>
      <w:r>
        <w:rPr>
          <w:rFonts w:hint="eastAsia" w:ascii="宋体" w:hAnsi="宋体" w:eastAsia="宋体" w:cs="宋体"/>
          <w:sz w:val="24"/>
          <w:szCs w:val="24"/>
          <w:lang w:val="en-US" w:eastAsia="zh-CN"/>
        </w:rPr>
        <w:t>3.1.5文明施工目标</w:t>
      </w:r>
      <w:bookmarkEnd w:id="377"/>
      <w:bookmarkEnd w:id="378"/>
      <w:bookmarkEnd w:id="386"/>
      <w:bookmarkEnd w:id="387"/>
      <w:bookmarkEnd w:id="388"/>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2"/>
          <w:sz w:val="24"/>
          <w:szCs w:val="21"/>
          <w:lang w:val="en-US" w:eastAsia="zh-CN" w:bidi="ar-SA"/>
        </w:rPr>
      </w:pPr>
      <w:r>
        <w:rPr>
          <w:rFonts w:hint="eastAsia" w:asciiTheme="minorEastAsia" w:hAnsiTheme="minorEastAsia" w:eastAsiaTheme="minorEastAsia" w:cstheme="minorEastAsia"/>
          <w:kern w:val="0"/>
          <w:sz w:val="24"/>
          <w:szCs w:val="24"/>
          <w:lang w:val="en-US" w:eastAsia="zh-CN"/>
        </w:rPr>
        <w:t>落实标准化建设争创文明施工样板工地。</w:t>
      </w:r>
      <w:r>
        <w:rPr>
          <w:rFonts w:hint="eastAsia" w:asciiTheme="minorEastAsia" w:hAnsiTheme="minorEastAsia" w:eastAsiaTheme="minorEastAsia" w:cstheme="minorEastAsia"/>
          <w:kern w:val="2"/>
          <w:sz w:val="24"/>
          <w:szCs w:val="21"/>
          <w:lang w:val="en-US" w:eastAsia="zh-CN" w:bidi="ar-SA"/>
        </w:rPr>
        <w:t>项目部办公整洁、生活区居住清洁、厨房清洁，用电线路规范、整齐满足规范要求。施工现场布局合理，环境整洁，标识醒目；机械设备停放整齐、安全标识、标牌规范摆放。</w:t>
      </w:r>
    </w:p>
    <w:p>
      <w:pPr>
        <w:pStyle w:val="9"/>
        <w:bidi w:val="0"/>
        <w:ind w:firstLine="482" w:firstLineChars="200"/>
        <w:rPr>
          <w:rFonts w:hint="eastAsia" w:ascii="宋体" w:hAnsi="宋体" w:eastAsia="宋体" w:cs="宋体"/>
          <w:sz w:val="24"/>
          <w:szCs w:val="24"/>
          <w:lang w:val="en-US" w:eastAsia="zh-CN"/>
        </w:rPr>
      </w:pPr>
      <w:bookmarkStart w:id="389" w:name="_Toc8449"/>
      <w:bookmarkStart w:id="390" w:name="_Toc20093"/>
      <w:bookmarkStart w:id="391" w:name="_Toc29068"/>
      <w:r>
        <w:rPr>
          <w:rFonts w:hint="eastAsia" w:ascii="宋体" w:hAnsi="宋体" w:eastAsia="宋体" w:cs="宋体"/>
          <w:sz w:val="24"/>
          <w:szCs w:val="24"/>
          <w:lang w:val="en-US" w:eastAsia="zh-CN"/>
        </w:rPr>
        <w:t>3.1.6环境保护目标</w:t>
      </w:r>
      <w:bookmarkEnd w:id="389"/>
      <w:bookmarkEnd w:id="390"/>
      <w:bookmarkEnd w:id="391"/>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0"/>
          <w:sz w:val="24"/>
          <w:szCs w:val="24"/>
          <w:lang w:val="en-US" w:eastAsia="zh-CN"/>
        </w:rPr>
      </w:pPr>
      <w:r>
        <w:rPr>
          <w:rFonts w:hint="eastAsia" w:asciiTheme="minorEastAsia" w:hAnsiTheme="minorEastAsia" w:eastAsiaTheme="minorEastAsia" w:cstheme="minorEastAsia"/>
          <w:kern w:val="0"/>
          <w:sz w:val="24"/>
          <w:szCs w:val="24"/>
          <w:lang w:val="en-US" w:eastAsia="zh-CN"/>
        </w:rPr>
        <w:t>遵守国家环境保护部门有关规定，落实河北省大气办和环保督察组要求，</w:t>
      </w:r>
      <w:r>
        <w:rPr>
          <w:rFonts w:hint="eastAsia" w:asciiTheme="minorEastAsia" w:hAnsiTheme="minorEastAsia" w:cstheme="minorEastAsia"/>
          <w:kern w:val="0"/>
          <w:sz w:val="24"/>
          <w:szCs w:val="24"/>
          <w:lang w:val="en-US" w:eastAsia="zh-CN"/>
        </w:rPr>
        <w:t>杜绝</w:t>
      </w:r>
      <w:r>
        <w:rPr>
          <w:rFonts w:hint="eastAsia" w:asciiTheme="minorEastAsia" w:hAnsiTheme="minorEastAsia" w:eastAsiaTheme="minorEastAsia" w:cstheme="minorEastAsia"/>
          <w:kern w:val="0"/>
          <w:sz w:val="24"/>
          <w:szCs w:val="24"/>
          <w:lang w:val="en-US" w:eastAsia="zh-CN"/>
        </w:rPr>
        <w:t>环境督导事件发生。</w:t>
      </w:r>
    </w:p>
    <w:p>
      <w:pPr>
        <w:pStyle w:val="9"/>
        <w:bidi w:val="0"/>
        <w:ind w:firstLine="482" w:firstLineChars="200"/>
        <w:rPr>
          <w:rFonts w:hint="eastAsia" w:ascii="宋体" w:hAnsi="宋体" w:eastAsia="宋体" w:cs="宋体"/>
          <w:sz w:val="24"/>
          <w:szCs w:val="24"/>
          <w:lang w:val="en-US" w:eastAsia="zh-CN"/>
        </w:rPr>
      </w:pPr>
      <w:bookmarkStart w:id="392" w:name="_Toc19513"/>
      <w:bookmarkStart w:id="393" w:name="_Toc8397"/>
      <w:bookmarkStart w:id="394" w:name="_Toc27269"/>
      <w:bookmarkStart w:id="395" w:name="_Toc9798"/>
      <w:bookmarkStart w:id="396" w:name="_Toc20899"/>
      <w:r>
        <w:rPr>
          <w:rFonts w:hint="eastAsia" w:ascii="宋体" w:hAnsi="宋体" w:eastAsia="宋体" w:cs="宋体"/>
          <w:sz w:val="24"/>
          <w:szCs w:val="24"/>
          <w:lang w:val="en-US" w:eastAsia="zh-CN"/>
        </w:rPr>
        <w:t>3.1.7职业健康目标</w:t>
      </w:r>
      <w:bookmarkEnd w:id="392"/>
      <w:bookmarkEnd w:id="393"/>
      <w:bookmarkEnd w:id="394"/>
      <w:bookmarkEnd w:id="395"/>
      <w:bookmarkEnd w:id="396"/>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outlineLvl w:val="1"/>
        <w:rPr>
          <w:rFonts w:hint="eastAsia" w:asciiTheme="minorEastAsia" w:hAnsiTheme="minorEastAsia" w:eastAsiaTheme="minorEastAsia" w:cstheme="minorEastAsia"/>
          <w:sz w:val="24"/>
          <w:lang w:val="en-US" w:eastAsia="zh-CN"/>
        </w:rPr>
      </w:pPr>
      <w:bookmarkStart w:id="397" w:name="_Toc6907"/>
      <w:bookmarkStart w:id="398" w:name="_Toc26584"/>
      <w:bookmarkStart w:id="399" w:name="_Toc23323"/>
      <w:bookmarkStart w:id="400" w:name="_Toc22"/>
      <w:bookmarkStart w:id="401" w:name="_Toc2817"/>
      <w:bookmarkStart w:id="402" w:name="_Toc21050"/>
      <w:bookmarkStart w:id="403" w:name="_Toc9467"/>
      <w:r>
        <w:rPr>
          <w:rFonts w:hint="eastAsia" w:asciiTheme="minorEastAsia" w:hAnsiTheme="minorEastAsia" w:eastAsiaTheme="minorEastAsia" w:cstheme="minorEastAsia"/>
          <w:sz w:val="24"/>
          <w:lang w:val="en-US" w:eastAsia="zh-CN"/>
        </w:rPr>
        <w:t>遵守国家职业健康有关规定，关心所有参建人员职业健康，加大宣传培训力度，保障劳动保护，杜绝中暑等职业病发生；加强卫生监控，杜绝传染病、食物中毒等事件发生。</w:t>
      </w:r>
      <w:bookmarkEnd w:id="397"/>
      <w:bookmarkEnd w:id="398"/>
      <w:bookmarkEnd w:id="399"/>
      <w:bookmarkEnd w:id="400"/>
      <w:bookmarkEnd w:id="401"/>
      <w:bookmarkEnd w:id="402"/>
      <w:bookmarkEnd w:id="403"/>
    </w:p>
    <w:p>
      <w:pPr>
        <w:pStyle w:val="8"/>
        <w:bidi w:val="0"/>
        <w:ind w:firstLine="482" w:firstLineChars="200"/>
        <w:rPr>
          <w:rFonts w:hint="eastAsia" w:ascii="宋体" w:hAnsi="宋体" w:eastAsia="宋体" w:cs="宋体"/>
          <w:sz w:val="24"/>
          <w:szCs w:val="24"/>
          <w:lang w:val="en-US" w:eastAsia="zh-CN"/>
        </w:rPr>
      </w:pPr>
      <w:bookmarkStart w:id="404" w:name="_Toc8922"/>
      <w:bookmarkStart w:id="405" w:name="_Toc25509"/>
      <w:bookmarkStart w:id="406" w:name="_Toc21539"/>
      <w:bookmarkStart w:id="407" w:name="_Toc30803"/>
      <w:bookmarkStart w:id="408" w:name="_Toc23361"/>
      <w:r>
        <w:rPr>
          <w:rFonts w:hint="eastAsia" w:ascii="宋体" w:hAnsi="宋体" w:eastAsia="宋体" w:cs="宋体"/>
          <w:sz w:val="24"/>
          <w:szCs w:val="24"/>
          <w:lang w:val="en-US" w:eastAsia="zh-CN"/>
        </w:rPr>
        <w:t>3.2组织机构设置</w:t>
      </w:r>
      <w:bookmarkEnd w:id="404"/>
      <w:bookmarkEnd w:id="405"/>
      <w:bookmarkEnd w:id="406"/>
      <w:bookmarkEnd w:id="407"/>
      <w:bookmarkEnd w:id="40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为圆满完成本次专项养护项目施工任务，结合项目的特点，此次专项养护</w:t>
      </w:r>
      <w:r>
        <w:rPr>
          <w:rFonts w:hint="eastAsia" w:asciiTheme="minorEastAsia" w:hAnsiTheme="minorEastAsia" w:eastAsiaTheme="minorEastAsia" w:cstheme="minorEastAsia"/>
          <w:sz w:val="24"/>
          <w:lang w:val="en-US"/>
        </w:rPr>
        <w:t>项目</w:t>
      </w:r>
      <w:r>
        <w:rPr>
          <w:rFonts w:hint="eastAsia" w:asciiTheme="minorEastAsia" w:hAnsiTheme="minorEastAsia" w:eastAsiaTheme="minorEastAsia" w:cstheme="minorEastAsia"/>
          <w:sz w:val="24"/>
          <w:lang w:val="en-US" w:eastAsia="zh-CN"/>
        </w:rPr>
        <w:t>部设置在京港澳老G4徐水收费站院内，现场设置临时项目部在阜平养护工区院内。项目经理部设置商务合约部、工程技术部、安全环保部、办公室、试验室、财务部六个部室，分部设置项目生产副经理1名、技术员</w:t>
      </w:r>
      <w:r>
        <w:rPr>
          <w:rFonts w:hint="eastAsia" w:asciiTheme="minorEastAsia" w:hAnsiTheme="minorEastAsia" w:eastAsiaTheme="minorEastAsia" w:cstheme="minorEastAsia"/>
          <w:sz w:val="24"/>
          <w:highlight w:val="none"/>
          <w:lang w:val="en-US" w:eastAsia="zh-CN"/>
        </w:rPr>
        <w:t>3</w:t>
      </w:r>
      <w:r>
        <w:rPr>
          <w:rFonts w:hint="eastAsia" w:asciiTheme="minorEastAsia" w:hAnsiTheme="minorEastAsia" w:eastAsiaTheme="minorEastAsia" w:cstheme="minorEastAsia"/>
          <w:sz w:val="24"/>
          <w:lang w:val="en-US" w:eastAsia="zh-CN"/>
        </w:rPr>
        <w:t>名、安全员2名。</w:t>
      </w:r>
    </w:p>
    <w:p>
      <w:pPr>
        <w:pStyle w:val="11"/>
        <w:pageBreakBefore w:val="0"/>
        <w:kinsoku/>
        <w:wordWrap/>
        <w:overflowPunct/>
        <w:topLinePunct w:val="0"/>
        <w:autoSpaceDE/>
        <w:autoSpaceDN/>
        <w:bidi w:val="0"/>
        <w:adjustRightInd/>
        <w:snapToGrid/>
        <w:spacing w:after="0" w:line="360" w:lineRule="auto"/>
        <w:ind w:left="0" w:leftChars="0" w:firstLine="482" w:firstLineChars="200"/>
        <w:jc w:val="center"/>
        <w:textAlignment w:val="auto"/>
        <w:rPr>
          <w:rFonts w:hint="eastAsia" w:ascii="方正仿宋_GBK" w:hAnsi="方正仿宋_GBK" w:eastAsia="方正仿宋_GBK" w:cs="方正仿宋_GBK"/>
          <w:b/>
          <w:bCs/>
          <w:sz w:val="24"/>
          <w:szCs w:val="24"/>
          <w:lang w:val="en-US" w:eastAsia="zh-CN"/>
        </w:rPr>
      </w:pPr>
      <w:r>
        <w:rPr>
          <w:rFonts w:hint="eastAsia" w:ascii="方正仿宋_GBK" w:hAnsi="方正仿宋_GBK" w:eastAsia="方正仿宋_GBK" w:cs="方正仿宋_GBK"/>
          <w:b/>
          <w:bCs/>
          <w:sz w:val="24"/>
          <w:szCs w:val="24"/>
          <w:lang w:val="en-US" w:eastAsia="zh-CN"/>
        </w:rPr>
        <w:t>项目组织机构设置主要人员表</w:t>
      </w:r>
    </w:p>
    <w:tbl>
      <w:tblPr>
        <w:tblStyle w:val="20"/>
        <w:tblW w:w="865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450"/>
        <w:gridCol w:w="701"/>
        <w:gridCol w:w="1826"/>
        <w:gridCol w:w="2905"/>
        <w:gridCol w:w="105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4" w:hRule="atLeast"/>
          <w:tblHeader/>
          <w:jc w:val="center"/>
        </w:trPr>
        <w:tc>
          <w:tcPr>
            <w:tcW w:w="72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序号</w:t>
            </w:r>
          </w:p>
        </w:tc>
        <w:tc>
          <w:tcPr>
            <w:tcW w:w="145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姓名</w:t>
            </w:r>
          </w:p>
        </w:tc>
        <w:tc>
          <w:tcPr>
            <w:tcW w:w="701"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性别</w:t>
            </w:r>
          </w:p>
        </w:tc>
        <w:tc>
          <w:tcPr>
            <w:tcW w:w="182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职务</w:t>
            </w:r>
          </w:p>
        </w:tc>
        <w:tc>
          <w:tcPr>
            <w:tcW w:w="290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负责事项</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1</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于长春</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eastAsia="zh-CN"/>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项目经理</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eastAsia="zh-CN"/>
              </w:rPr>
              <w:t>主持全面工作</w:t>
            </w:r>
          </w:p>
        </w:tc>
        <w:tc>
          <w:tcPr>
            <w:tcW w:w="105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2</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val="en-US" w:eastAsia="zh-CN"/>
              </w:rPr>
              <w:t>赵旭召</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eastAsia="zh-CN"/>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项目总工</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eastAsia="zh-CN"/>
              </w:rPr>
              <w:t>负责全面技术工作</w:t>
            </w:r>
          </w:p>
        </w:tc>
        <w:tc>
          <w:tcPr>
            <w:tcW w:w="105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val="en-US" w:eastAsia="zh-CN"/>
              </w:rPr>
              <w:t>3</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rPr>
              <w:t>冯印斌</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val="en-US" w:eastAsia="zh-CN"/>
              </w:rPr>
              <w:t>项目执行负责人</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eastAsia="zh-CN"/>
              </w:rPr>
              <w:t>负责</w:t>
            </w:r>
            <w:r>
              <w:rPr>
                <w:rFonts w:hint="eastAsia" w:ascii="方正仿宋_GBK" w:hAnsi="方正仿宋_GBK" w:eastAsia="方正仿宋_GBK" w:cs="方正仿宋_GBK"/>
                <w:color w:val="000000"/>
                <w:kern w:val="0"/>
                <w:sz w:val="21"/>
                <w:szCs w:val="21"/>
              </w:rPr>
              <w:t>项目全面工作</w:t>
            </w:r>
            <w:r>
              <w:rPr>
                <w:rFonts w:hint="eastAsia" w:ascii="方正仿宋_GBK" w:hAnsi="方正仿宋_GBK" w:eastAsia="方正仿宋_GBK" w:cs="方正仿宋_GBK"/>
                <w:color w:val="000000"/>
                <w:kern w:val="0"/>
                <w:sz w:val="21"/>
                <w:szCs w:val="21"/>
                <w:lang w:eastAsia="zh-CN"/>
              </w:rPr>
              <w:t>组织、实施</w:t>
            </w:r>
          </w:p>
        </w:tc>
        <w:tc>
          <w:tcPr>
            <w:tcW w:w="105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val="en-US" w:eastAsia="zh-CN"/>
              </w:rPr>
              <w:t>4</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刘天双</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项目技术负责人</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协助项目经理，管理全面技术工程</w:t>
            </w:r>
          </w:p>
        </w:tc>
        <w:tc>
          <w:tcPr>
            <w:tcW w:w="105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5</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黄强</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项目副经理兼安全总监</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安全监督管理</w:t>
            </w:r>
          </w:p>
        </w:tc>
        <w:tc>
          <w:tcPr>
            <w:tcW w:w="105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2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val="en-US" w:eastAsia="zh-CN"/>
              </w:rPr>
              <w:t>6</w:t>
            </w:r>
          </w:p>
        </w:tc>
        <w:tc>
          <w:tcPr>
            <w:tcW w:w="145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杨爽</w:t>
            </w:r>
          </w:p>
        </w:tc>
        <w:tc>
          <w:tcPr>
            <w:tcW w:w="701"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生产副经理</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安排生产，安全、文明施工</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6" w:hRule="atLeast"/>
          <w:tblHeader/>
          <w:jc w:val="center"/>
        </w:trPr>
        <w:tc>
          <w:tcPr>
            <w:tcW w:w="72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tc>
        <w:tc>
          <w:tcPr>
            <w:tcW w:w="145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701"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工程技术部长</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lang w:val="en-US" w:eastAsia="zh-CN"/>
              </w:rPr>
              <w:t>主要参与施工组织设计的优化和具体实施计划编排，并完成结算，落实成本控制措施等。</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2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7</w:t>
            </w:r>
          </w:p>
        </w:tc>
        <w:tc>
          <w:tcPr>
            <w:tcW w:w="145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贾涛</w:t>
            </w:r>
          </w:p>
        </w:tc>
        <w:tc>
          <w:tcPr>
            <w:tcW w:w="701"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rPr>
            </w:pPr>
            <w:r>
              <w:rPr>
                <w:rFonts w:hint="eastAsia" w:ascii="方正仿宋_GBK" w:hAnsi="方正仿宋_GBK" w:eastAsia="方正仿宋_GBK" w:cs="方正仿宋_GBK"/>
                <w:color w:val="000000"/>
                <w:kern w:val="0"/>
                <w:sz w:val="21"/>
                <w:szCs w:val="21"/>
                <w:lang w:val="en-US" w:eastAsia="zh-CN"/>
              </w:rPr>
              <w:t>生产副经理</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安排生产，安全、文明施工</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81" w:hRule="atLeast"/>
          <w:tblHeader/>
          <w:jc w:val="center"/>
        </w:trPr>
        <w:tc>
          <w:tcPr>
            <w:tcW w:w="72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tc>
        <w:tc>
          <w:tcPr>
            <w:tcW w:w="145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tc>
        <w:tc>
          <w:tcPr>
            <w:tcW w:w="701"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防护工程师</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highlight w:val="none"/>
              </w:rPr>
              <w:t>负责</w:t>
            </w:r>
            <w:r>
              <w:rPr>
                <w:rFonts w:hint="eastAsia" w:ascii="方正仿宋_GBK" w:hAnsi="方正仿宋_GBK" w:eastAsia="方正仿宋_GBK" w:cs="方正仿宋_GBK"/>
                <w:color w:val="000000"/>
                <w:kern w:val="0"/>
                <w:sz w:val="21"/>
                <w:szCs w:val="21"/>
                <w:highlight w:val="none"/>
                <w:lang w:val="en-US" w:eastAsia="zh-CN"/>
              </w:rPr>
              <w:t>对边坡防护工程</w:t>
            </w:r>
            <w:r>
              <w:rPr>
                <w:rFonts w:hint="eastAsia" w:ascii="方正仿宋_GBK" w:hAnsi="方正仿宋_GBK" w:eastAsia="方正仿宋_GBK" w:cs="方正仿宋_GBK"/>
                <w:color w:val="000000"/>
                <w:kern w:val="0"/>
                <w:sz w:val="21"/>
                <w:szCs w:val="21"/>
                <w:highlight w:val="none"/>
              </w:rPr>
              <w:t>施工</w:t>
            </w:r>
            <w:r>
              <w:rPr>
                <w:rFonts w:hint="eastAsia" w:ascii="方正仿宋_GBK" w:hAnsi="方正仿宋_GBK" w:eastAsia="方正仿宋_GBK" w:cs="方正仿宋_GBK"/>
                <w:color w:val="000000"/>
                <w:kern w:val="0"/>
                <w:sz w:val="21"/>
                <w:szCs w:val="21"/>
                <w:highlight w:val="none"/>
                <w:lang w:val="en-US" w:eastAsia="zh-CN"/>
              </w:rPr>
              <w:t>的现场技术指导及质量监督工作，对施工中存在的问题提出整改措施，并及时汇报上级领导，负责现场质量验收等。</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val="en-US" w:eastAsia="zh-CN"/>
              </w:rPr>
              <w:t>8</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叶竹</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女</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商务合约部长</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lang w:val="en-US" w:eastAsia="zh-CN"/>
              </w:rPr>
              <w:t>负责项目</w:t>
            </w:r>
            <w:r>
              <w:rPr>
                <w:rFonts w:hint="eastAsia" w:ascii="方正仿宋_GBK" w:hAnsi="方正仿宋_GBK" w:eastAsia="方正仿宋_GBK" w:cs="方正仿宋_GBK"/>
                <w:color w:val="000000"/>
                <w:kern w:val="0"/>
                <w:sz w:val="21"/>
                <w:szCs w:val="21"/>
              </w:rPr>
              <w:t>商务策划</w:t>
            </w:r>
            <w:r>
              <w:rPr>
                <w:rFonts w:hint="eastAsia" w:ascii="方正仿宋_GBK" w:hAnsi="方正仿宋_GBK" w:eastAsia="方正仿宋_GBK" w:cs="方正仿宋_GBK"/>
                <w:color w:val="000000"/>
                <w:kern w:val="0"/>
                <w:sz w:val="21"/>
                <w:szCs w:val="21"/>
                <w:lang w:eastAsia="zh-CN"/>
              </w:rPr>
              <w:t>、</w:t>
            </w:r>
            <w:r>
              <w:rPr>
                <w:rFonts w:hint="eastAsia" w:ascii="方正仿宋_GBK" w:hAnsi="方正仿宋_GBK" w:eastAsia="方正仿宋_GBK" w:cs="方正仿宋_GBK"/>
                <w:color w:val="000000"/>
                <w:kern w:val="0"/>
                <w:sz w:val="21"/>
                <w:szCs w:val="21"/>
              </w:rPr>
              <w:t>合同计量</w:t>
            </w:r>
            <w:r>
              <w:rPr>
                <w:rFonts w:hint="eastAsia" w:ascii="方正仿宋_GBK" w:hAnsi="方正仿宋_GBK" w:eastAsia="方正仿宋_GBK" w:cs="方正仿宋_GBK"/>
                <w:color w:val="000000"/>
                <w:kern w:val="0"/>
                <w:sz w:val="21"/>
                <w:szCs w:val="21"/>
                <w:lang w:eastAsia="zh-CN"/>
              </w:rPr>
              <w:t>、</w:t>
            </w:r>
            <w:r>
              <w:rPr>
                <w:rFonts w:hint="eastAsia" w:ascii="方正仿宋_GBK" w:hAnsi="方正仿宋_GBK" w:eastAsia="方正仿宋_GBK" w:cs="方正仿宋_GBK"/>
                <w:color w:val="000000"/>
                <w:kern w:val="0"/>
                <w:sz w:val="21"/>
                <w:szCs w:val="21"/>
              </w:rPr>
              <w:t>成本分析</w:t>
            </w:r>
            <w:r>
              <w:rPr>
                <w:rFonts w:hint="eastAsia" w:ascii="方正仿宋_GBK" w:hAnsi="方正仿宋_GBK" w:eastAsia="方正仿宋_GBK" w:cs="方正仿宋_GBK"/>
                <w:color w:val="000000"/>
                <w:kern w:val="0"/>
                <w:sz w:val="21"/>
                <w:szCs w:val="21"/>
                <w:lang w:val="en-US" w:eastAsia="zh-CN"/>
              </w:rPr>
              <w:t>及结算等</w:t>
            </w:r>
            <w:r>
              <w:rPr>
                <w:rFonts w:hint="eastAsia" w:ascii="方正仿宋_GBK" w:hAnsi="方正仿宋_GBK" w:eastAsia="方正仿宋_GBK" w:cs="方正仿宋_GBK"/>
                <w:color w:val="000000"/>
                <w:kern w:val="0"/>
                <w:sz w:val="21"/>
                <w:szCs w:val="21"/>
              </w:rPr>
              <w:t>。</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2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val="en-US" w:eastAsia="zh-CN"/>
              </w:rPr>
              <w:t>9</w:t>
            </w:r>
          </w:p>
        </w:tc>
        <w:tc>
          <w:tcPr>
            <w:tcW w:w="145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白杨</w:t>
            </w:r>
          </w:p>
        </w:tc>
        <w:tc>
          <w:tcPr>
            <w:tcW w:w="701"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女</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办公室副主任</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highlight w:val="none"/>
              </w:rPr>
              <w:t>办公室工作，</w:t>
            </w:r>
            <w:r>
              <w:rPr>
                <w:rFonts w:hint="eastAsia" w:ascii="方正仿宋_GBK" w:hAnsi="方正仿宋_GBK" w:eastAsia="方正仿宋_GBK" w:cs="方正仿宋_GBK"/>
                <w:color w:val="000000"/>
                <w:kern w:val="0"/>
                <w:sz w:val="21"/>
                <w:szCs w:val="21"/>
                <w:highlight w:val="none"/>
                <w:lang w:val="en-US" w:eastAsia="zh-CN"/>
              </w:rPr>
              <w:t>公司制度文件收发管理。</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6" w:hRule="atLeast"/>
          <w:tblHeader/>
          <w:jc w:val="center"/>
        </w:trPr>
        <w:tc>
          <w:tcPr>
            <w:tcW w:w="72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tc>
        <w:tc>
          <w:tcPr>
            <w:tcW w:w="145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701"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资料负责人</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highlight w:val="none"/>
              </w:rPr>
            </w:pPr>
            <w:r>
              <w:rPr>
                <w:rFonts w:hint="eastAsia" w:ascii="方正仿宋_GBK" w:hAnsi="方正仿宋_GBK" w:eastAsia="方正仿宋_GBK" w:cs="方正仿宋_GBK"/>
                <w:color w:val="000000"/>
                <w:kern w:val="0"/>
                <w:sz w:val="21"/>
                <w:szCs w:val="21"/>
                <w:lang w:val="en-US" w:eastAsia="zh-CN"/>
              </w:rPr>
              <w:t>负责项目施工统计工作，注意收集项目施工工期签证的资料，动态管理施工工期，调整总进度计划并进行跟踪。</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tblHeader/>
          <w:jc w:val="center"/>
        </w:trPr>
        <w:tc>
          <w:tcPr>
            <w:tcW w:w="72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val="en-US" w:eastAsia="zh-CN"/>
              </w:rPr>
              <w:t>10</w:t>
            </w:r>
          </w:p>
        </w:tc>
        <w:tc>
          <w:tcPr>
            <w:tcW w:w="145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吴海</w:t>
            </w:r>
          </w:p>
        </w:tc>
        <w:tc>
          <w:tcPr>
            <w:tcW w:w="701"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eastAsia="zh-CN"/>
              </w:rPr>
              <w:t>办公室主任</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highlight w:val="none"/>
                <w:lang w:eastAsia="zh-CN"/>
              </w:rPr>
              <w:t>办公室</w:t>
            </w:r>
            <w:r>
              <w:rPr>
                <w:rFonts w:hint="eastAsia" w:ascii="方正仿宋_GBK" w:hAnsi="方正仿宋_GBK" w:eastAsia="方正仿宋_GBK" w:cs="方正仿宋_GBK"/>
                <w:color w:val="000000"/>
                <w:kern w:val="0"/>
                <w:sz w:val="21"/>
                <w:szCs w:val="21"/>
                <w:highlight w:val="none"/>
              </w:rPr>
              <w:t>工作</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tblHeader/>
          <w:jc w:val="center"/>
        </w:trPr>
        <w:tc>
          <w:tcPr>
            <w:tcW w:w="72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p>
        </w:tc>
        <w:tc>
          <w:tcPr>
            <w:tcW w:w="145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701"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地方协调负责人</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办理交警、路政行政许可手续、处理地方事务、车辆管理、后勤管理。</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val="en-US" w:eastAsia="zh-CN"/>
              </w:rPr>
              <w:t>11</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石景波</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lang w:val="en-US" w:eastAsia="zh-CN"/>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lang w:val="en-US" w:eastAsia="zh-CN"/>
              </w:rPr>
              <w:t>安全环保部长</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负责项目部安全工作，负责安全措施，制定安全管理制度实施细则，确保安全生产。</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12"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12</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牛江</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eastAsia="zh-CN"/>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财务部长</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根据项目资金情况，合理调配资金，做好与各方财务往来账目，加强财务监管，督促财务人员严格执行各项财务制度和财经纪律。</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bl>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2" w:firstLineChars="200"/>
        <w:jc w:val="left"/>
        <w:textAlignment w:val="auto"/>
        <w:rPr>
          <w:rFonts w:hint="eastAsia" w:asciiTheme="minorEastAsia" w:hAnsiTheme="minorEastAsia" w:eastAsiaTheme="minorEastAsia" w:cstheme="minorEastAsia"/>
          <w:sz w:val="24"/>
          <w:lang w:val="en-US" w:eastAsia="zh-CN"/>
        </w:rPr>
      </w:pPr>
      <w:r>
        <w:rPr>
          <w:rFonts w:hint="eastAsia" w:ascii="方正仿宋_GBK" w:hAnsi="方正仿宋_GBK" w:eastAsia="方正仿宋_GBK" w:cs="方正仿宋_GBK"/>
          <w:b/>
          <w:bCs/>
          <w:sz w:val="24"/>
          <w:szCs w:val="24"/>
          <w:lang w:val="en-US" w:eastAsia="zh-CN"/>
        </w:rPr>
        <w:t>项目组织机构设置人员表</w:t>
      </w:r>
    </w:p>
    <w:tbl>
      <w:tblPr>
        <w:tblStyle w:val="21"/>
        <w:tblpPr w:leftFromText="180" w:rightFromText="180" w:vertAnchor="text" w:horzAnchor="page" w:tblpX="1855" w:tblpY="601"/>
        <w:tblOverlap w:val="never"/>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93"/>
        <w:gridCol w:w="1384"/>
        <w:gridCol w:w="670"/>
        <w:gridCol w:w="1603"/>
        <w:gridCol w:w="3067"/>
        <w:gridCol w:w="85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序号</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姓名</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性别</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职务</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负责事项</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13</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郑泓泽</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eastAsia="zh-CN"/>
              </w:rPr>
              <w:t>女</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试验室主任</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负责项目试验检测工作，建立试验室建立和备案，熟练掌握仪器设备，负责日常维护、使用和运行。</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14</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马金生</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男</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专职安全员</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负责项目安全工作，每天开工前对现场施工人员进行的班前教育进行监督，巡查现场摆放的各种安全设施，检查各项安全隐患，确保安全生产。</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15</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张玉轩</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男</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技术员</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负责技术实体资料整理上报、配合技术部办理工程结算、进度计划上报及其他质量管理工作。</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16</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孙亮亮</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eastAsia="zh-CN"/>
              </w:rPr>
              <w:t>男</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default"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农民工工资专管员及资料员</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负责本项目农民工的管理、劳动保障管理，负责督促农民工劳动合同的签订，并收集归档。</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17</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田永胜</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eastAsia="zh-CN"/>
              </w:rPr>
              <w:t>男</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default"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技术员</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现场施工管理</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default" w:ascii="仿宋" w:hAnsi="仿宋"/>
                <w:b/>
                <w:bCs w:val="0"/>
                <w:sz w:val="18"/>
                <w:szCs w:val="18"/>
                <w:highlight w:val="none"/>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18</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冯国柱</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eastAsia="zh-CN"/>
              </w:rPr>
              <w:t>男</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技术员</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现场施工管理</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default" w:ascii="仿宋" w:hAnsi="仿宋"/>
                <w:b/>
                <w:bCs w:val="0"/>
                <w:sz w:val="18"/>
                <w:szCs w:val="18"/>
                <w:highlight w:val="none"/>
                <w:vertAlign w:val="baseline"/>
                <w:lang w:val="en-US" w:eastAsia="zh-CN"/>
              </w:rPr>
            </w:pPr>
          </w:p>
        </w:tc>
      </w:tr>
    </w:tbl>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outlineLvl w:val="9"/>
        <w:rPr>
          <w:rFonts w:hint="eastAsia" w:asciiTheme="minorEastAsia" w:hAnsiTheme="minorEastAsia" w:eastAsiaTheme="minorEastAsia" w:cstheme="minorEastAsia"/>
          <w:sz w:val="24"/>
          <w:lang w:val="en-US" w:eastAsia="zh-CN"/>
        </w:rPr>
      </w:pPr>
    </w:p>
    <w:p>
      <w:pPr>
        <w:pStyle w:val="8"/>
        <w:bidi w:val="0"/>
        <w:ind w:firstLine="482" w:firstLineChars="200"/>
        <w:rPr>
          <w:rFonts w:hint="eastAsia" w:ascii="宋体" w:hAnsi="宋体" w:eastAsia="宋体" w:cs="宋体"/>
          <w:sz w:val="24"/>
          <w:szCs w:val="24"/>
          <w:lang w:val="en-US" w:eastAsia="zh-CN"/>
        </w:rPr>
      </w:pPr>
      <w:bookmarkStart w:id="409" w:name="_Toc20277"/>
      <w:bookmarkStart w:id="410" w:name="_Toc2740"/>
      <w:bookmarkStart w:id="411" w:name="_Toc758"/>
      <w:bookmarkStart w:id="412" w:name="_Toc29946"/>
      <w:bookmarkStart w:id="413" w:name="_Toc17792"/>
      <w:r>
        <w:rPr>
          <w:rFonts w:hint="eastAsia" w:ascii="宋体" w:hAnsi="宋体" w:eastAsia="宋体" w:cs="宋体"/>
          <w:sz w:val="24"/>
          <w:szCs w:val="24"/>
          <w:lang w:val="en-US" w:eastAsia="zh-CN"/>
        </w:rPr>
        <w:t>3.3施工区段的划分及队伍部署，劳动力组织及配置计划</w:t>
      </w:r>
      <w:bookmarkEnd w:id="409"/>
      <w:bookmarkEnd w:id="410"/>
      <w:bookmarkEnd w:id="411"/>
      <w:bookmarkEnd w:id="412"/>
      <w:bookmarkEnd w:id="413"/>
    </w:p>
    <w:p>
      <w:pPr>
        <w:pStyle w:val="8"/>
        <w:bidi w:val="0"/>
        <w:ind w:firstLine="482" w:firstLineChars="200"/>
        <w:rPr>
          <w:rFonts w:hint="eastAsia" w:ascii="宋体" w:hAnsi="宋体" w:eastAsia="宋体" w:cs="宋体"/>
          <w:sz w:val="24"/>
          <w:szCs w:val="24"/>
          <w:lang w:val="en-US" w:eastAsia="zh-CN"/>
        </w:rPr>
      </w:pPr>
      <w:bookmarkStart w:id="414" w:name="_Toc10279"/>
      <w:bookmarkStart w:id="415" w:name="_Toc25283"/>
      <w:bookmarkStart w:id="416" w:name="_Toc176"/>
      <w:bookmarkStart w:id="417" w:name="_Toc114"/>
      <w:bookmarkStart w:id="418" w:name="_Toc20847"/>
      <w:r>
        <w:rPr>
          <w:rFonts w:hint="eastAsia" w:ascii="宋体" w:hAnsi="宋体" w:eastAsia="宋体" w:cs="宋体"/>
          <w:sz w:val="24"/>
          <w:szCs w:val="24"/>
          <w:lang w:val="en-US" w:eastAsia="zh-CN"/>
        </w:rPr>
        <w:t>3.3.1施工区段的划分及队伍部署</w:t>
      </w:r>
      <w:bookmarkEnd w:id="414"/>
      <w:bookmarkEnd w:id="415"/>
      <w:bookmarkEnd w:id="416"/>
      <w:bookmarkEnd w:id="417"/>
      <w:bookmarkEnd w:id="41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lang w:val="en-US" w:eastAsia="zh-CN"/>
        </w:rPr>
      </w:pPr>
      <w:r>
        <w:rPr>
          <w:rFonts w:hint="eastAsia" w:asciiTheme="minorEastAsia" w:hAnsiTheme="minorEastAsia" w:eastAsiaTheme="minorEastAsia" w:cstheme="minorEastAsia"/>
          <w:sz w:val="24"/>
          <w:lang w:val="en-US" w:eastAsia="zh-CN"/>
        </w:rPr>
        <w:t>根据工程的施工特点，我项目采用多段平行施工，每段内各工序流水施工，形成平行与流水作业相结合的施工局面。本项目施工中涉及主动柔性防护网防护、锚杆喷射混凝土防护、水泥混凝土踏步泄水槽等多工种、多工序，配备交通导改维护指挥作业队、主动柔性防护网、锚杆喷射混凝土防护、水泥混凝土踏步泄水槽等专业作业施工队投入本工程的施工。施工作业队均由我单位询比采购中标的专业队伍组成，且均在我单位注册过的、具有丰富高速养护施工经验，由项目部统一调配作业队。</w:t>
      </w:r>
    </w:p>
    <w:p>
      <w:pPr>
        <w:pStyle w:val="9"/>
        <w:bidi w:val="0"/>
        <w:ind w:firstLine="482" w:firstLineChars="200"/>
        <w:rPr>
          <w:rFonts w:hint="eastAsia" w:asciiTheme="majorEastAsia" w:hAnsiTheme="majorEastAsia" w:eastAsiaTheme="majorEastAsia" w:cstheme="majorEastAsia"/>
          <w:sz w:val="24"/>
          <w:szCs w:val="24"/>
          <w:lang w:val="en-US" w:eastAsia="zh-CN"/>
        </w:rPr>
      </w:pPr>
      <w:bookmarkStart w:id="419" w:name="_Toc20209"/>
      <w:bookmarkStart w:id="420" w:name="_Toc21576"/>
      <w:bookmarkStart w:id="421" w:name="_Toc10762"/>
      <w:bookmarkStart w:id="422" w:name="_Toc14237"/>
      <w:bookmarkStart w:id="423" w:name="_Toc23311"/>
      <w:r>
        <w:rPr>
          <w:rFonts w:hint="eastAsia" w:asciiTheme="majorEastAsia" w:hAnsiTheme="majorEastAsia" w:eastAsiaTheme="majorEastAsia" w:cstheme="majorEastAsia"/>
          <w:sz w:val="24"/>
          <w:szCs w:val="24"/>
          <w:lang w:val="en-US" w:eastAsia="zh-CN"/>
        </w:rPr>
        <w:t>3.3.2劳动力组织及配置计划</w:t>
      </w:r>
      <w:bookmarkEnd w:id="419"/>
      <w:bookmarkEnd w:id="420"/>
      <w:bookmarkEnd w:id="421"/>
      <w:bookmarkEnd w:id="422"/>
      <w:bookmarkEnd w:id="4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各施工队劳动力应满足施工要求，另外还将根据施工阶段性需要进一步加大劳动力投入，适时调配补充足量的技术工人。项目经理部由专人负责筹划一般劳务人员进场及管理工作，监督各作业队与劳务人员签订用工合同，先行组织少部分人员进场，展开施工准备及临时驻地建设，后续按照拟投入的劳动力计划，组织相关人员陆续进场。加强对各作业队伍的管理、培训、教育工作，使之具备能吃苦耐劳并具有良好思想作风，提高工人的操作水平，加强工程安全质量意识，确保合同工期，同时服从建设单位的统一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2" w:firstLineChars="200"/>
        <w:jc w:val="left"/>
        <w:textAlignment w:val="auto"/>
        <w:rPr>
          <w:rFonts w:hint="eastAsia" w:asciiTheme="minorEastAsia" w:hAnsiTheme="minorEastAsia" w:eastAsiaTheme="minorEastAsia" w:cstheme="minorEastAsia"/>
          <w:b/>
          <w:bCs/>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2" w:firstLineChars="200"/>
        <w:jc w:val="left"/>
        <w:textAlignment w:val="auto"/>
        <w:rPr>
          <w:rFonts w:hint="eastAsia" w:asciiTheme="minorEastAsia" w:hAnsiTheme="minorEastAsia" w:eastAsiaTheme="minorEastAsia" w:cstheme="minorEastAsia"/>
          <w:b/>
          <w:bCs/>
          <w:sz w:val="24"/>
          <w:lang w:val="en-US" w:eastAsia="zh-CN"/>
        </w:rPr>
      </w:pPr>
      <w:r>
        <w:rPr>
          <w:rFonts w:hint="eastAsia" w:asciiTheme="minorEastAsia" w:hAnsiTheme="minorEastAsia" w:eastAsiaTheme="minorEastAsia" w:cstheme="minorEastAsia"/>
          <w:b/>
          <w:bCs/>
          <w:sz w:val="24"/>
          <w:lang w:val="en-US" w:eastAsia="zh-CN"/>
        </w:rPr>
        <w:t>劳动力计划表            单位：人</w:t>
      </w:r>
    </w:p>
    <w:tbl>
      <w:tblPr>
        <w:tblStyle w:val="23"/>
        <w:tblpPr w:leftFromText="180" w:rightFromText="180" w:vertAnchor="text" w:horzAnchor="page" w:tblpX="1816" w:tblpY="290"/>
        <w:tblOverlap w:val="never"/>
        <w:tblW w:w="8699"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3"/>
        <w:gridCol w:w="1358"/>
        <w:gridCol w:w="2126"/>
        <w:gridCol w:w="2950"/>
        <w:gridCol w:w="138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243" w:hRule="atLeast"/>
        </w:trPr>
        <w:tc>
          <w:tcPr>
            <w:tcW w:w="883" w:type="dxa"/>
            <w:vMerge w:val="restart"/>
            <w:tcBorders>
              <w:top w:val="single" w:color="000000" w:sz="10" w:space="0"/>
              <w:left w:val="single" w:color="000000" w:sz="10" w:space="0"/>
              <w:bottom w:val="nil"/>
            </w:tcBorders>
            <w:vAlign w:val="top"/>
          </w:tcPr>
          <w:p>
            <w:pPr>
              <w:spacing w:line="292" w:lineRule="auto"/>
              <w:rPr>
                <w:rFonts w:ascii="Arial"/>
                <w:sz w:val="21"/>
              </w:rPr>
            </w:pPr>
          </w:p>
          <w:p>
            <w:pPr>
              <w:spacing w:line="292" w:lineRule="auto"/>
              <w:rPr>
                <w:rFonts w:ascii="Arial"/>
                <w:sz w:val="21"/>
              </w:rPr>
            </w:pPr>
          </w:p>
          <w:p>
            <w:pPr>
              <w:spacing w:before="81" w:line="228" w:lineRule="auto"/>
              <w:ind w:left="188"/>
              <w:rPr>
                <w:rFonts w:ascii="仿宋" w:hAnsi="仿宋" w:eastAsia="仿宋" w:cs="仿宋"/>
                <w:sz w:val="25"/>
                <w:szCs w:val="25"/>
              </w:rPr>
            </w:pPr>
            <w:r>
              <w:rPr>
                <w:rFonts w:ascii="仿宋" w:hAnsi="仿宋" w:eastAsia="仿宋" w:cs="仿宋"/>
                <w:spacing w:val="-3"/>
                <w:sz w:val="25"/>
                <w:szCs w:val="25"/>
              </w:rPr>
              <w:t>工种</w:t>
            </w:r>
          </w:p>
        </w:tc>
        <w:tc>
          <w:tcPr>
            <w:tcW w:w="7816" w:type="dxa"/>
            <w:gridSpan w:val="4"/>
            <w:tcBorders>
              <w:top w:val="single" w:color="000000" w:sz="10" w:space="0"/>
            </w:tcBorders>
            <w:vAlign w:val="top"/>
          </w:tcPr>
          <w:p>
            <w:pPr>
              <w:spacing w:line="241" w:lineRule="auto"/>
              <w:rPr>
                <w:rFonts w:ascii="Arial"/>
                <w:sz w:val="21"/>
              </w:rPr>
            </w:pPr>
          </w:p>
          <w:p>
            <w:pPr>
              <w:spacing w:before="81" w:line="228" w:lineRule="auto"/>
              <w:ind w:left="2095"/>
              <w:rPr>
                <w:rFonts w:ascii="仿宋" w:hAnsi="仿宋" w:eastAsia="仿宋" w:cs="仿宋"/>
                <w:sz w:val="25"/>
                <w:szCs w:val="25"/>
              </w:rPr>
            </w:pPr>
            <w:r>
              <w:rPr>
                <w:rFonts w:ascii="仿宋" w:hAnsi="仿宋" w:eastAsia="仿宋" w:cs="仿宋"/>
                <w:spacing w:val="8"/>
                <w:sz w:val="25"/>
                <w:szCs w:val="25"/>
              </w:rPr>
              <w:t>按工程施工阶段投入劳动力情况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3" w:hRule="atLeast"/>
        </w:trPr>
        <w:tc>
          <w:tcPr>
            <w:tcW w:w="883" w:type="dxa"/>
            <w:vMerge w:val="continue"/>
            <w:tcBorders>
              <w:top w:val="nil"/>
              <w:left w:val="single" w:color="000000" w:sz="10" w:space="0"/>
            </w:tcBorders>
            <w:vAlign w:val="top"/>
          </w:tcPr>
          <w:p>
            <w:pPr>
              <w:rPr>
                <w:rFonts w:ascii="Arial"/>
                <w:sz w:val="21"/>
              </w:rPr>
            </w:pPr>
          </w:p>
        </w:tc>
        <w:tc>
          <w:tcPr>
            <w:tcW w:w="1358" w:type="dxa"/>
            <w:vAlign w:val="top"/>
          </w:tcPr>
          <w:p>
            <w:pPr>
              <w:spacing w:before="321" w:line="230" w:lineRule="auto"/>
              <w:ind w:left="163"/>
              <w:rPr>
                <w:rFonts w:ascii="仿宋" w:hAnsi="仿宋" w:eastAsia="仿宋" w:cs="仿宋"/>
                <w:sz w:val="25"/>
                <w:szCs w:val="25"/>
              </w:rPr>
            </w:pPr>
            <w:r>
              <w:rPr>
                <w:rFonts w:ascii="仿宋" w:hAnsi="仿宋" w:eastAsia="仿宋" w:cs="仿宋"/>
                <w:spacing w:val="5"/>
                <w:sz w:val="25"/>
                <w:szCs w:val="25"/>
              </w:rPr>
              <w:t>测线放量</w:t>
            </w:r>
          </w:p>
        </w:tc>
        <w:tc>
          <w:tcPr>
            <w:tcW w:w="2126" w:type="dxa"/>
            <w:vAlign w:val="top"/>
          </w:tcPr>
          <w:p>
            <w:pPr>
              <w:spacing w:before="321" w:line="230" w:lineRule="auto"/>
              <w:ind w:left="159"/>
              <w:rPr>
                <w:rFonts w:hint="eastAsia" w:ascii="仿宋" w:hAnsi="仿宋" w:eastAsia="仿宋" w:cs="仿宋"/>
                <w:sz w:val="25"/>
                <w:szCs w:val="25"/>
                <w:lang w:eastAsia="zh-CN"/>
              </w:rPr>
            </w:pPr>
            <w:r>
              <w:rPr>
                <w:rFonts w:ascii="仿宋" w:hAnsi="仿宋" w:eastAsia="仿宋" w:cs="仿宋"/>
                <w:spacing w:val="7"/>
                <w:sz w:val="25"/>
                <w:szCs w:val="25"/>
              </w:rPr>
              <w:t>拆除</w:t>
            </w:r>
            <w:r>
              <w:rPr>
                <w:rFonts w:hint="eastAsia" w:ascii="仿宋" w:hAnsi="仿宋" w:eastAsia="仿宋" w:cs="仿宋"/>
                <w:spacing w:val="7"/>
                <w:sz w:val="25"/>
                <w:szCs w:val="25"/>
                <w:lang w:eastAsia="zh-CN"/>
              </w:rPr>
              <w:t>更换</w:t>
            </w:r>
          </w:p>
        </w:tc>
        <w:tc>
          <w:tcPr>
            <w:tcW w:w="2950" w:type="dxa"/>
            <w:vAlign w:val="top"/>
          </w:tcPr>
          <w:p>
            <w:pPr>
              <w:spacing w:before="321" w:line="229" w:lineRule="auto"/>
              <w:ind w:left="187"/>
              <w:rPr>
                <w:rFonts w:ascii="仿宋" w:hAnsi="仿宋" w:eastAsia="仿宋" w:cs="仿宋"/>
                <w:sz w:val="25"/>
                <w:szCs w:val="25"/>
              </w:rPr>
            </w:pPr>
            <w:r>
              <w:rPr>
                <w:rFonts w:ascii="仿宋" w:hAnsi="仿宋" w:eastAsia="仿宋" w:cs="仿宋"/>
                <w:spacing w:val="8"/>
                <w:sz w:val="25"/>
                <w:szCs w:val="25"/>
              </w:rPr>
              <w:t>病害处置</w:t>
            </w:r>
          </w:p>
        </w:tc>
        <w:tc>
          <w:tcPr>
            <w:tcW w:w="1382" w:type="dxa"/>
            <w:vAlign w:val="top"/>
          </w:tcPr>
          <w:p>
            <w:pPr>
              <w:spacing w:before="321" w:line="229" w:lineRule="auto"/>
              <w:ind w:left="197"/>
              <w:rPr>
                <w:rFonts w:ascii="仿宋" w:hAnsi="仿宋" w:eastAsia="仿宋" w:cs="仿宋"/>
                <w:sz w:val="25"/>
                <w:szCs w:val="25"/>
              </w:rPr>
            </w:pPr>
            <w:r>
              <w:rPr>
                <w:rFonts w:ascii="仿宋" w:hAnsi="仿宋" w:eastAsia="仿宋" w:cs="仿宋"/>
                <w:spacing w:val="1"/>
                <w:sz w:val="25"/>
                <w:szCs w:val="25"/>
              </w:rPr>
              <w:t>收尾清场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9" w:hRule="atLeast"/>
        </w:trPr>
        <w:tc>
          <w:tcPr>
            <w:tcW w:w="883" w:type="dxa"/>
            <w:tcBorders>
              <w:left w:val="single" w:color="000000" w:sz="10" w:space="0"/>
            </w:tcBorders>
            <w:vAlign w:val="top"/>
          </w:tcPr>
          <w:p>
            <w:pPr>
              <w:spacing w:before="322" w:line="230" w:lineRule="auto"/>
              <w:ind w:left="115"/>
              <w:rPr>
                <w:rFonts w:ascii="仿宋" w:hAnsi="仿宋" w:eastAsia="仿宋" w:cs="仿宋"/>
                <w:sz w:val="25"/>
                <w:szCs w:val="25"/>
              </w:rPr>
            </w:pPr>
            <w:r>
              <w:rPr>
                <w:rFonts w:ascii="仿宋" w:hAnsi="仿宋" w:eastAsia="仿宋" w:cs="仿宋"/>
                <w:sz w:val="25"/>
                <w:szCs w:val="25"/>
              </w:rPr>
              <w:t>测量</w:t>
            </w:r>
          </w:p>
        </w:tc>
        <w:tc>
          <w:tcPr>
            <w:tcW w:w="1358" w:type="dxa"/>
            <w:vAlign w:val="top"/>
          </w:tcPr>
          <w:p>
            <w:pPr>
              <w:spacing w:line="283" w:lineRule="auto"/>
              <w:rPr>
                <w:rFonts w:ascii="Arial"/>
                <w:sz w:val="21"/>
              </w:rPr>
            </w:pPr>
          </w:p>
          <w:p>
            <w:pPr>
              <w:spacing w:before="82" w:line="185" w:lineRule="auto"/>
              <w:ind w:left="611"/>
              <w:rPr>
                <w:rFonts w:hint="eastAsia" w:ascii="仿宋" w:hAnsi="仿宋" w:eastAsia="仿宋" w:cs="仿宋"/>
                <w:sz w:val="25"/>
                <w:szCs w:val="25"/>
                <w:lang w:val="en-US" w:eastAsia="zh-CN"/>
              </w:rPr>
            </w:pPr>
            <w:r>
              <w:rPr>
                <w:rFonts w:hint="eastAsia" w:ascii="仿宋" w:hAnsi="仿宋" w:eastAsia="仿宋" w:cs="仿宋"/>
                <w:sz w:val="25"/>
                <w:szCs w:val="25"/>
                <w:lang w:val="en-US" w:eastAsia="zh-CN"/>
              </w:rPr>
              <w:t>3</w:t>
            </w:r>
          </w:p>
        </w:tc>
        <w:tc>
          <w:tcPr>
            <w:tcW w:w="2126" w:type="dxa"/>
            <w:vAlign w:val="top"/>
          </w:tcPr>
          <w:p>
            <w:pPr>
              <w:spacing w:line="286" w:lineRule="auto"/>
              <w:rPr>
                <w:rFonts w:ascii="Arial"/>
                <w:sz w:val="21"/>
              </w:rPr>
            </w:pPr>
          </w:p>
          <w:p>
            <w:pPr>
              <w:spacing w:before="81" w:line="183" w:lineRule="auto"/>
              <w:ind w:left="1003"/>
              <w:rPr>
                <w:rFonts w:ascii="仿宋" w:hAnsi="仿宋" w:eastAsia="仿宋" w:cs="仿宋"/>
                <w:sz w:val="25"/>
                <w:szCs w:val="25"/>
              </w:rPr>
            </w:pPr>
            <w:r>
              <w:rPr>
                <w:rFonts w:ascii="仿宋" w:hAnsi="仿宋" w:eastAsia="仿宋" w:cs="仿宋"/>
                <w:sz w:val="25"/>
                <w:szCs w:val="25"/>
              </w:rPr>
              <w:t>5</w:t>
            </w:r>
          </w:p>
        </w:tc>
        <w:tc>
          <w:tcPr>
            <w:tcW w:w="2950" w:type="dxa"/>
            <w:vAlign w:val="top"/>
          </w:tcPr>
          <w:p>
            <w:pPr>
              <w:spacing w:line="286" w:lineRule="auto"/>
              <w:rPr>
                <w:rFonts w:ascii="Arial"/>
                <w:sz w:val="21"/>
              </w:rPr>
            </w:pPr>
          </w:p>
          <w:p>
            <w:pPr>
              <w:spacing w:before="81" w:line="183" w:lineRule="auto"/>
              <w:ind w:left="1419"/>
              <w:rPr>
                <w:rFonts w:ascii="仿宋" w:hAnsi="仿宋" w:eastAsia="仿宋" w:cs="仿宋"/>
                <w:sz w:val="25"/>
                <w:szCs w:val="25"/>
              </w:rPr>
            </w:pPr>
            <w:r>
              <w:rPr>
                <w:rFonts w:ascii="仿宋" w:hAnsi="仿宋" w:eastAsia="仿宋" w:cs="仿宋"/>
                <w:sz w:val="25"/>
                <w:szCs w:val="25"/>
              </w:rPr>
              <w:t>5</w:t>
            </w:r>
          </w:p>
        </w:tc>
        <w:tc>
          <w:tcPr>
            <w:tcW w:w="1382" w:type="dxa"/>
            <w:vAlign w:val="top"/>
          </w:tcPr>
          <w:p>
            <w:pPr>
              <w:spacing w:line="286" w:lineRule="auto"/>
              <w:rPr>
                <w:rFonts w:ascii="Arial"/>
                <w:sz w:val="21"/>
              </w:rPr>
            </w:pPr>
          </w:p>
          <w:p>
            <w:pPr>
              <w:spacing w:before="81" w:line="183" w:lineRule="auto"/>
              <w:ind w:left="636"/>
              <w:rPr>
                <w:rFonts w:ascii="仿宋" w:hAnsi="仿宋" w:eastAsia="仿宋" w:cs="仿宋"/>
                <w:sz w:val="25"/>
                <w:szCs w:val="25"/>
              </w:rPr>
            </w:pPr>
            <w:r>
              <w:rPr>
                <w:rFonts w:ascii="仿宋" w:hAnsi="仿宋" w:eastAsia="仿宋" w:cs="仿宋"/>
                <w:sz w:val="25"/>
                <w:szCs w:val="25"/>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9" w:hRule="atLeast"/>
        </w:trPr>
        <w:tc>
          <w:tcPr>
            <w:tcW w:w="883" w:type="dxa"/>
            <w:tcBorders>
              <w:left w:val="single" w:color="000000" w:sz="10" w:space="0"/>
            </w:tcBorders>
            <w:vAlign w:val="top"/>
          </w:tcPr>
          <w:p>
            <w:pPr>
              <w:spacing w:before="322" w:line="235" w:lineRule="auto"/>
              <w:ind w:left="143"/>
              <w:rPr>
                <w:rFonts w:ascii="仿宋" w:hAnsi="仿宋" w:eastAsia="仿宋" w:cs="仿宋"/>
                <w:sz w:val="25"/>
                <w:szCs w:val="25"/>
              </w:rPr>
            </w:pPr>
            <w:r>
              <w:rPr>
                <w:rFonts w:ascii="仿宋" w:hAnsi="仿宋" w:eastAsia="仿宋" w:cs="仿宋"/>
                <w:spacing w:val="-14"/>
                <w:sz w:val="25"/>
                <w:szCs w:val="25"/>
              </w:rPr>
              <w:t>电工</w:t>
            </w:r>
          </w:p>
        </w:tc>
        <w:tc>
          <w:tcPr>
            <w:tcW w:w="1358" w:type="dxa"/>
            <w:vAlign w:val="top"/>
          </w:tcPr>
          <w:p>
            <w:pPr>
              <w:spacing w:line="284" w:lineRule="auto"/>
              <w:rPr>
                <w:rFonts w:ascii="Arial"/>
                <w:sz w:val="21"/>
              </w:rPr>
            </w:pPr>
          </w:p>
          <w:p>
            <w:pPr>
              <w:spacing w:before="81" w:line="185" w:lineRule="auto"/>
              <w:ind w:left="608"/>
              <w:rPr>
                <w:rFonts w:hint="eastAsia" w:ascii="仿宋" w:hAnsi="仿宋" w:eastAsia="仿宋" w:cs="仿宋"/>
                <w:sz w:val="25"/>
                <w:szCs w:val="25"/>
                <w:lang w:val="en-US" w:eastAsia="zh-CN"/>
              </w:rPr>
            </w:pPr>
            <w:r>
              <w:rPr>
                <w:rFonts w:hint="eastAsia" w:ascii="仿宋" w:hAnsi="仿宋" w:eastAsia="仿宋" w:cs="仿宋"/>
                <w:sz w:val="25"/>
                <w:szCs w:val="25"/>
                <w:lang w:val="en-US" w:eastAsia="zh-CN"/>
              </w:rPr>
              <w:t>1</w:t>
            </w:r>
          </w:p>
        </w:tc>
        <w:tc>
          <w:tcPr>
            <w:tcW w:w="2126" w:type="dxa"/>
            <w:vAlign w:val="top"/>
          </w:tcPr>
          <w:p>
            <w:pPr>
              <w:spacing w:line="284" w:lineRule="auto"/>
              <w:rPr>
                <w:rFonts w:ascii="Arial"/>
                <w:sz w:val="21"/>
              </w:rPr>
            </w:pPr>
          </w:p>
          <w:p>
            <w:pPr>
              <w:spacing w:before="81" w:line="185" w:lineRule="auto"/>
              <w:ind w:left="997"/>
              <w:rPr>
                <w:rFonts w:hint="eastAsia" w:ascii="仿宋" w:hAnsi="仿宋" w:eastAsia="仿宋" w:cs="仿宋"/>
                <w:sz w:val="25"/>
                <w:szCs w:val="25"/>
                <w:lang w:val="en-US" w:eastAsia="zh-CN"/>
              </w:rPr>
            </w:pPr>
            <w:r>
              <w:rPr>
                <w:rFonts w:hint="eastAsia" w:ascii="仿宋" w:hAnsi="仿宋" w:eastAsia="仿宋" w:cs="仿宋"/>
                <w:sz w:val="25"/>
                <w:szCs w:val="25"/>
                <w:lang w:val="en-US" w:eastAsia="zh-CN"/>
              </w:rPr>
              <w:t>2</w:t>
            </w:r>
          </w:p>
        </w:tc>
        <w:tc>
          <w:tcPr>
            <w:tcW w:w="2950" w:type="dxa"/>
            <w:vAlign w:val="top"/>
          </w:tcPr>
          <w:p>
            <w:pPr>
              <w:spacing w:line="284" w:lineRule="auto"/>
              <w:rPr>
                <w:rFonts w:ascii="Arial"/>
                <w:sz w:val="21"/>
              </w:rPr>
            </w:pPr>
          </w:p>
          <w:p>
            <w:pPr>
              <w:spacing w:before="81" w:line="185" w:lineRule="auto"/>
              <w:ind w:left="1413"/>
              <w:rPr>
                <w:rFonts w:hint="eastAsia" w:ascii="仿宋" w:hAnsi="仿宋" w:eastAsia="仿宋" w:cs="仿宋"/>
                <w:sz w:val="25"/>
                <w:szCs w:val="25"/>
                <w:lang w:val="en-US" w:eastAsia="zh-CN"/>
              </w:rPr>
            </w:pPr>
            <w:r>
              <w:rPr>
                <w:rFonts w:hint="eastAsia" w:ascii="仿宋" w:hAnsi="仿宋" w:eastAsia="仿宋" w:cs="仿宋"/>
                <w:sz w:val="25"/>
                <w:szCs w:val="25"/>
                <w:lang w:val="en-US" w:eastAsia="zh-CN"/>
              </w:rPr>
              <w:t>2</w:t>
            </w:r>
          </w:p>
        </w:tc>
        <w:tc>
          <w:tcPr>
            <w:tcW w:w="1382" w:type="dxa"/>
            <w:vAlign w:val="top"/>
          </w:tcPr>
          <w:p>
            <w:pPr>
              <w:spacing w:line="284" w:lineRule="auto"/>
              <w:rPr>
                <w:rFonts w:ascii="Arial"/>
                <w:sz w:val="21"/>
              </w:rPr>
            </w:pPr>
          </w:p>
          <w:p>
            <w:pPr>
              <w:spacing w:before="81" w:line="185" w:lineRule="auto"/>
              <w:ind w:left="630"/>
              <w:rPr>
                <w:rFonts w:hint="eastAsia" w:ascii="仿宋" w:hAnsi="仿宋" w:eastAsia="仿宋" w:cs="仿宋"/>
                <w:sz w:val="25"/>
                <w:szCs w:val="25"/>
                <w:lang w:val="en-US" w:eastAsia="zh-CN"/>
              </w:rPr>
            </w:pPr>
            <w:r>
              <w:rPr>
                <w:rFonts w:hint="eastAsia" w:ascii="仿宋" w:hAnsi="仿宋" w:eastAsia="仿宋" w:cs="仿宋"/>
                <w:sz w:val="25"/>
                <w:szCs w:val="25"/>
                <w:lang w:val="en-US" w:eastAsia="zh-CN"/>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9" w:hRule="atLeast"/>
        </w:trPr>
        <w:tc>
          <w:tcPr>
            <w:tcW w:w="883" w:type="dxa"/>
            <w:tcBorders>
              <w:left w:val="single" w:color="000000" w:sz="10" w:space="0"/>
            </w:tcBorders>
            <w:vAlign w:val="top"/>
          </w:tcPr>
          <w:p>
            <w:pPr>
              <w:spacing w:before="322" w:line="228" w:lineRule="auto"/>
              <w:ind w:left="115"/>
              <w:rPr>
                <w:rFonts w:ascii="仿宋" w:hAnsi="仿宋" w:eastAsia="仿宋" w:cs="仿宋"/>
                <w:sz w:val="25"/>
                <w:szCs w:val="25"/>
              </w:rPr>
            </w:pPr>
            <w:r>
              <w:rPr>
                <w:rFonts w:ascii="仿宋" w:hAnsi="仿宋" w:eastAsia="仿宋" w:cs="仿宋"/>
                <w:sz w:val="25"/>
                <w:szCs w:val="25"/>
              </w:rPr>
              <w:t>机械</w:t>
            </w:r>
          </w:p>
        </w:tc>
        <w:tc>
          <w:tcPr>
            <w:tcW w:w="1358" w:type="dxa"/>
            <w:vAlign w:val="top"/>
          </w:tcPr>
          <w:p>
            <w:pPr>
              <w:spacing w:line="283" w:lineRule="auto"/>
              <w:rPr>
                <w:rFonts w:ascii="Arial"/>
                <w:sz w:val="21"/>
              </w:rPr>
            </w:pPr>
          </w:p>
          <w:p>
            <w:pPr>
              <w:spacing w:before="81" w:line="186" w:lineRule="auto"/>
              <w:ind w:left="563"/>
              <w:rPr>
                <w:rFonts w:hint="eastAsia" w:ascii="仿宋" w:hAnsi="仿宋" w:eastAsia="仿宋" w:cs="仿宋"/>
                <w:sz w:val="25"/>
                <w:szCs w:val="25"/>
                <w:lang w:val="en-US" w:eastAsia="zh-CN"/>
              </w:rPr>
            </w:pPr>
            <w:r>
              <w:rPr>
                <w:rFonts w:hint="eastAsia" w:ascii="仿宋" w:hAnsi="仿宋" w:eastAsia="仿宋" w:cs="仿宋"/>
                <w:sz w:val="25"/>
                <w:szCs w:val="25"/>
                <w:lang w:val="en-US" w:eastAsia="zh-CN"/>
              </w:rPr>
              <w:t>3</w:t>
            </w:r>
          </w:p>
        </w:tc>
        <w:tc>
          <w:tcPr>
            <w:tcW w:w="2126" w:type="dxa"/>
            <w:vAlign w:val="top"/>
          </w:tcPr>
          <w:p>
            <w:pPr>
              <w:spacing w:line="281" w:lineRule="auto"/>
              <w:rPr>
                <w:rFonts w:ascii="Arial"/>
                <w:sz w:val="21"/>
              </w:rPr>
            </w:pPr>
          </w:p>
          <w:p>
            <w:pPr>
              <w:spacing w:before="91" w:line="181" w:lineRule="auto"/>
              <w:ind w:left="925"/>
              <w:rPr>
                <w:rFonts w:hint="eastAsia" w:ascii="仿宋" w:hAnsi="仿宋" w:eastAsia="仿宋" w:cs="仿宋"/>
                <w:sz w:val="28"/>
                <w:szCs w:val="28"/>
                <w:lang w:eastAsia="zh-CN"/>
              </w:rPr>
            </w:pPr>
            <w:r>
              <w:rPr>
                <w:rFonts w:hint="eastAsia" w:ascii="仿宋" w:hAnsi="仿宋" w:eastAsia="仿宋" w:cs="仿宋"/>
                <w:spacing w:val="-6"/>
                <w:sz w:val="28"/>
                <w:szCs w:val="28"/>
                <w:lang w:val="en-US" w:eastAsia="zh-CN"/>
              </w:rPr>
              <w:t>5</w:t>
            </w:r>
          </w:p>
        </w:tc>
        <w:tc>
          <w:tcPr>
            <w:tcW w:w="2950" w:type="dxa"/>
            <w:vAlign w:val="top"/>
          </w:tcPr>
          <w:p>
            <w:pPr>
              <w:spacing w:line="284" w:lineRule="auto"/>
              <w:rPr>
                <w:rFonts w:ascii="Arial"/>
                <w:sz w:val="21"/>
              </w:rPr>
            </w:pPr>
          </w:p>
          <w:p>
            <w:pPr>
              <w:spacing w:before="81" w:line="185" w:lineRule="auto"/>
              <w:ind w:left="1354"/>
              <w:rPr>
                <w:rFonts w:hint="eastAsia" w:ascii="仿宋" w:hAnsi="仿宋" w:eastAsia="仿宋" w:cs="仿宋"/>
                <w:sz w:val="25"/>
                <w:szCs w:val="25"/>
                <w:lang w:eastAsia="zh-CN"/>
              </w:rPr>
            </w:pPr>
            <w:r>
              <w:rPr>
                <w:rFonts w:hint="eastAsia" w:ascii="仿宋" w:hAnsi="仿宋" w:eastAsia="仿宋" w:cs="仿宋"/>
                <w:spacing w:val="-3"/>
                <w:sz w:val="25"/>
                <w:szCs w:val="25"/>
                <w:lang w:val="en-US" w:eastAsia="zh-CN"/>
              </w:rPr>
              <w:t>6</w:t>
            </w:r>
          </w:p>
        </w:tc>
        <w:tc>
          <w:tcPr>
            <w:tcW w:w="1382" w:type="dxa"/>
            <w:vAlign w:val="top"/>
          </w:tcPr>
          <w:p>
            <w:pPr>
              <w:spacing w:line="287" w:lineRule="auto"/>
              <w:rPr>
                <w:rFonts w:ascii="Arial"/>
                <w:sz w:val="21"/>
              </w:rPr>
            </w:pPr>
          </w:p>
          <w:p>
            <w:pPr>
              <w:spacing w:before="81" w:line="183" w:lineRule="auto"/>
              <w:ind w:left="636"/>
              <w:rPr>
                <w:rFonts w:hint="eastAsia" w:ascii="仿宋" w:hAnsi="仿宋" w:eastAsia="仿宋" w:cs="仿宋"/>
                <w:sz w:val="25"/>
                <w:szCs w:val="25"/>
                <w:lang w:eastAsia="zh-CN"/>
              </w:rPr>
            </w:pPr>
            <w:r>
              <w:rPr>
                <w:rFonts w:hint="eastAsia" w:ascii="仿宋" w:hAnsi="仿宋" w:eastAsia="仿宋" w:cs="仿宋"/>
                <w:sz w:val="25"/>
                <w:szCs w:val="25"/>
                <w:lang w:val="en-US" w:eastAsia="zh-CN"/>
              </w:rP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trPr>
        <w:tc>
          <w:tcPr>
            <w:tcW w:w="883" w:type="dxa"/>
            <w:tcBorders>
              <w:left w:val="single" w:color="000000" w:sz="10" w:space="0"/>
            </w:tcBorders>
            <w:vAlign w:val="top"/>
          </w:tcPr>
          <w:p>
            <w:pPr>
              <w:spacing w:line="241" w:lineRule="auto"/>
              <w:rPr>
                <w:rFonts w:ascii="Arial"/>
                <w:sz w:val="21"/>
              </w:rPr>
            </w:pPr>
          </w:p>
          <w:p>
            <w:pPr>
              <w:spacing w:before="81" w:line="228" w:lineRule="auto"/>
              <w:ind w:left="120"/>
              <w:rPr>
                <w:rFonts w:ascii="仿宋" w:hAnsi="仿宋" w:eastAsia="仿宋" w:cs="仿宋"/>
                <w:sz w:val="25"/>
                <w:szCs w:val="25"/>
              </w:rPr>
            </w:pPr>
            <w:r>
              <w:rPr>
                <w:rFonts w:ascii="仿宋" w:hAnsi="仿宋" w:eastAsia="仿宋" w:cs="仿宋"/>
                <w:spacing w:val="-3"/>
                <w:sz w:val="25"/>
                <w:szCs w:val="25"/>
              </w:rPr>
              <w:t>维修</w:t>
            </w:r>
          </w:p>
        </w:tc>
        <w:tc>
          <w:tcPr>
            <w:tcW w:w="1358" w:type="dxa"/>
            <w:vAlign w:val="top"/>
          </w:tcPr>
          <w:p>
            <w:pPr>
              <w:spacing w:line="287" w:lineRule="auto"/>
              <w:rPr>
                <w:rFonts w:ascii="Arial"/>
                <w:sz w:val="21"/>
              </w:rPr>
            </w:pPr>
          </w:p>
          <w:p>
            <w:pPr>
              <w:spacing w:before="81" w:line="183" w:lineRule="auto"/>
              <w:ind w:left="614"/>
              <w:rPr>
                <w:rFonts w:hint="eastAsia" w:ascii="仿宋" w:hAnsi="仿宋" w:eastAsia="仿宋" w:cs="仿宋"/>
                <w:sz w:val="25"/>
                <w:szCs w:val="25"/>
                <w:lang w:eastAsia="zh-CN"/>
              </w:rPr>
            </w:pPr>
            <w:r>
              <w:rPr>
                <w:rFonts w:hint="eastAsia" w:ascii="仿宋" w:hAnsi="仿宋" w:eastAsia="仿宋" w:cs="仿宋"/>
                <w:sz w:val="25"/>
                <w:szCs w:val="25"/>
                <w:lang w:val="en-US" w:eastAsia="zh-CN"/>
              </w:rPr>
              <w:t>2</w:t>
            </w:r>
          </w:p>
        </w:tc>
        <w:tc>
          <w:tcPr>
            <w:tcW w:w="2126" w:type="dxa"/>
            <w:vAlign w:val="top"/>
          </w:tcPr>
          <w:p>
            <w:pPr>
              <w:spacing w:line="284" w:lineRule="auto"/>
              <w:rPr>
                <w:rFonts w:ascii="Arial"/>
                <w:sz w:val="21"/>
              </w:rPr>
            </w:pPr>
          </w:p>
          <w:p>
            <w:pPr>
              <w:spacing w:before="82" w:line="185" w:lineRule="auto"/>
              <w:ind w:left="999"/>
              <w:rPr>
                <w:rFonts w:hint="eastAsia" w:ascii="仿宋" w:hAnsi="仿宋" w:eastAsia="仿宋" w:cs="仿宋"/>
                <w:sz w:val="25"/>
                <w:szCs w:val="25"/>
                <w:lang w:eastAsia="zh-CN"/>
              </w:rPr>
            </w:pPr>
            <w:r>
              <w:rPr>
                <w:rFonts w:hint="eastAsia" w:ascii="仿宋" w:hAnsi="仿宋" w:eastAsia="仿宋" w:cs="仿宋"/>
                <w:sz w:val="25"/>
                <w:szCs w:val="25"/>
                <w:lang w:val="en-US" w:eastAsia="zh-CN"/>
              </w:rPr>
              <w:t>2</w:t>
            </w:r>
          </w:p>
        </w:tc>
        <w:tc>
          <w:tcPr>
            <w:tcW w:w="2950" w:type="dxa"/>
            <w:vAlign w:val="top"/>
          </w:tcPr>
          <w:p>
            <w:pPr>
              <w:spacing w:line="284" w:lineRule="auto"/>
              <w:rPr>
                <w:rFonts w:ascii="Arial"/>
                <w:sz w:val="21"/>
              </w:rPr>
            </w:pPr>
          </w:p>
          <w:p>
            <w:pPr>
              <w:spacing w:before="82" w:line="185" w:lineRule="auto"/>
              <w:ind w:left="1415"/>
              <w:rPr>
                <w:rFonts w:hint="eastAsia" w:ascii="仿宋" w:hAnsi="仿宋" w:eastAsia="仿宋" w:cs="仿宋"/>
                <w:sz w:val="25"/>
                <w:szCs w:val="25"/>
                <w:lang w:eastAsia="zh-CN"/>
              </w:rPr>
            </w:pPr>
            <w:r>
              <w:rPr>
                <w:rFonts w:hint="eastAsia" w:ascii="仿宋" w:hAnsi="仿宋" w:eastAsia="仿宋" w:cs="仿宋"/>
                <w:sz w:val="25"/>
                <w:szCs w:val="25"/>
                <w:lang w:val="en-US" w:eastAsia="zh-CN"/>
              </w:rPr>
              <w:t>3</w:t>
            </w:r>
          </w:p>
        </w:tc>
        <w:tc>
          <w:tcPr>
            <w:tcW w:w="1382" w:type="dxa"/>
            <w:vAlign w:val="top"/>
          </w:tcPr>
          <w:p>
            <w:pPr>
              <w:spacing w:line="284" w:lineRule="auto"/>
              <w:rPr>
                <w:rFonts w:ascii="Arial"/>
                <w:sz w:val="21"/>
              </w:rPr>
            </w:pPr>
          </w:p>
          <w:p>
            <w:pPr>
              <w:spacing w:before="82" w:line="185" w:lineRule="auto"/>
              <w:ind w:left="633"/>
              <w:rPr>
                <w:rFonts w:hint="eastAsia" w:ascii="仿宋" w:hAnsi="仿宋" w:eastAsia="仿宋" w:cs="仿宋"/>
                <w:sz w:val="25"/>
                <w:szCs w:val="25"/>
                <w:lang w:eastAsia="zh-CN"/>
              </w:rPr>
            </w:pPr>
            <w:r>
              <w:rPr>
                <w:rFonts w:hint="eastAsia" w:ascii="仿宋" w:hAnsi="仿宋" w:eastAsia="仿宋" w:cs="仿宋"/>
                <w:sz w:val="25"/>
                <w:szCs w:val="25"/>
                <w:lang w:val="en-US" w:eastAsia="zh-CN"/>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3" w:hRule="atLeast"/>
        </w:trPr>
        <w:tc>
          <w:tcPr>
            <w:tcW w:w="883" w:type="dxa"/>
            <w:tcBorders>
              <w:left w:val="single" w:color="000000" w:sz="10" w:space="0"/>
            </w:tcBorders>
            <w:vAlign w:val="top"/>
          </w:tcPr>
          <w:p>
            <w:pPr>
              <w:spacing w:line="242" w:lineRule="auto"/>
              <w:rPr>
                <w:rFonts w:ascii="Arial"/>
                <w:sz w:val="21"/>
              </w:rPr>
            </w:pPr>
          </w:p>
          <w:p>
            <w:pPr>
              <w:spacing w:before="81" w:line="231" w:lineRule="auto"/>
              <w:ind w:left="129"/>
              <w:rPr>
                <w:rFonts w:ascii="仿宋" w:hAnsi="仿宋" w:eastAsia="仿宋" w:cs="仿宋"/>
                <w:sz w:val="25"/>
                <w:szCs w:val="25"/>
              </w:rPr>
            </w:pPr>
            <w:r>
              <w:rPr>
                <w:rFonts w:ascii="仿宋" w:hAnsi="仿宋" w:eastAsia="仿宋" w:cs="仿宋"/>
                <w:spacing w:val="-7"/>
                <w:sz w:val="25"/>
                <w:szCs w:val="25"/>
              </w:rPr>
              <w:t>管道</w:t>
            </w:r>
          </w:p>
        </w:tc>
        <w:tc>
          <w:tcPr>
            <w:tcW w:w="1358" w:type="dxa"/>
            <w:vAlign w:val="top"/>
          </w:tcPr>
          <w:p>
            <w:pPr>
              <w:spacing w:line="287" w:lineRule="auto"/>
              <w:rPr>
                <w:rFonts w:ascii="Arial"/>
                <w:sz w:val="21"/>
              </w:rPr>
            </w:pPr>
          </w:p>
          <w:p>
            <w:pPr>
              <w:spacing w:before="81" w:line="185" w:lineRule="auto"/>
              <w:ind w:left="612"/>
              <w:rPr>
                <w:rFonts w:ascii="仿宋" w:hAnsi="仿宋" w:eastAsia="仿宋" w:cs="仿宋"/>
                <w:sz w:val="25"/>
                <w:szCs w:val="25"/>
              </w:rPr>
            </w:pPr>
            <w:r>
              <w:rPr>
                <w:rFonts w:ascii="仿宋" w:hAnsi="仿宋" w:eastAsia="仿宋" w:cs="仿宋"/>
                <w:sz w:val="25"/>
                <w:szCs w:val="25"/>
              </w:rPr>
              <w:t>2</w:t>
            </w:r>
          </w:p>
        </w:tc>
        <w:tc>
          <w:tcPr>
            <w:tcW w:w="2126" w:type="dxa"/>
            <w:vAlign w:val="top"/>
          </w:tcPr>
          <w:p>
            <w:pPr>
              <w:spacing w:line="286" w:lineRule="auto"/>
              <w:rPr>
                <w:rFonts w:ascii="Arial"/>
                <w:sz w:val="21"/>
              </w:rPr>
            </w:pPr>
          </w:p>
          <w:p>
            <w:pPr>
              <w:spacing w:before="82" w:line="185" w:lineRule="auto"/>
              <w:ind w:left="1003"/>
              <w:rPr>
                <w:rFonts w:ascii="仿宋" w:hAnsi="仿宋" w:eastAsia="仿宋" w:cs="仿宋"/>
                <w:sz w:val="25"/>
                <w:szCs w:val="25"/>
              </w:rPr>
            </w:pPr>
            <w:r>
              <w:rPr>
                <w:rFonts w:ascii="仿宋" w:hAnsi="仿宋" w:eastAsia="仿宋" w:cs="仿宋"/>
                <w:sz w:val="25"/>
                <w:szCs w:val="25"/>
              </w:rPr>
              <w:t>3</w:t>
            </w:r>
          </w:p>
        </w:tc>
        <w:tc>
          <w:tcPr>
            <w:tcW w:w="2950" w:type="dxa"/>
            <w:vAlign w:val="top"/>
          </w:tcPr>
          <w:p>
            <w:pPr>
              <w:spacing w:line="286" w:lineRule="auto"/>
              <w:rPr>
                <w:rFonts w:ascii="Arial"/>
                <w:sz w:val="21"/>
              </w:rPr>
            </w:pPr>
          </w:p>
          <w:p>
            <w:pPr>
              <w:spacing w:before="82" w:line="185" w:lineRule="auto"/>
              <w:ind w:left="1419"/>
              <w:rPr>
                <w:rFonts w:ascii="仿宋" w:hAnsi="仿宋" w:eastAsia="仿宋" w:cs="仿宋"/>
                <w:sz w:val="25"/>
                <w:szCs w:val="25"/>
              </w:rPr>
            </w:pPr>
            <w:r>
              <w:rPr>
                <w:rFonts w:ascii="仿宋" w:hAnsi="仿宋" w:eastAsia="仿宋" w:cs="仿宋"/>
                <w:sz w:val="25"/>
                <w:szCs w:val="25"/>
              </w:rPr>
              <w:t>3</w:t>
            </w:r>
          </w:p>
        </w:tc>
        <w:tc>
          <w:tcPr>
            <w:tcW w:w="1382" w:type="dxa"/>
            <w:vAlign w:val="top"/>
          </w:tcPr>
          <w:p>
            <w:pPr>
              <w:spacing w:line="287" w:lineRule="auto"/>
              <w:rPr>
                <w:rFonts w:ascii="Arial"/>
                <w:sz w:val="21"/>
              </w:rPr>
            </w:pPr>
          </w:p>
          <w:p>
            <w:pPr>
              <w:spacing w:before="81" w:line="185" w:lineRule="auto"/>
              <w:ind w:left="634"/>
              <w:rPr>
                <w:rFonts w:ascii="仿宋" w:hAnsi="仿宋" w:eastAsia="仿宋" w:cs="仿宋"/>
                <w:sz w:val="25"/>
                <w:szCs w:val="25"/>
              </w:rPr>
            </w:pPr>
            <w:r>
              <w:rPr>
                <w:rFonts w:ascii="仿宋" w:hAnsi="仿宋" w:eastAsia="仿宋" w:cs="仿宋"/>
                <w:sz w:val="25"/>
                <w:szCs w:val="25"/>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8" w:hRule="atLeast"/>
        </w:trPr>
        <w:tc>
          <w:tcPr>
            <w:tcW w:w="883" w:type="dxa"/>
            <w:tcBorders>
              <w:left w:val="single" w:color="000000" w:sz="10" w:space="0"/>
            </w:tcBorders>
            <w:vAlign w:val="top"/>
          </w:tcPr>
          <w:p>
            <w:pPr>
              <w:spacing w:before="322" w:line="229" w:lineRule="auto"/>
              <w:ind w:left="135"/>
              <w:rPr>
                <w:rFonts w:ascii="仿宋" w:hAnsi="仿宋" w:eastAsia="仿宋" w:cs="仿宋"/>
                <w:sz w:val="25"/>
                <w:szCs w:val="25"/>
              </w:rPr>
            </w:pPr>
            <w:r>
              <w:rPr>
                <w:rFonts w:ascii="仿宋" w:hAnsi="仿宋" w:eastAsia="仿宋" w:cs="仿宋"/>
                <w:spacing w:val="-10"/>
                <w:sz w:val="25"/>
                <w:szCs w:val="25"/>
              </w:rPr>
              <w:t>司机</w:t>
            </w:r>
          </w:p>
        </w:tc>
        <w:tc>
          <w:tcPr>
            <w:tcW w:w="1358" w:type="dxa"/>
            <w:vAlign w:val="top"/>
          </w:tcPr>
          <w:p>
            <w:pPr>
              <w:spacing w:line="283" w:lineRule="auto"/>
              <w:rPr>
                <w:rFonts w:ascii="Arial"/>
                <w:sz w:val="21"/>
              </w:rPr>
            </w:pPr>
          </w:p>
          <w:p>
            <w:pPr>
              <w:spacing w:before="81" w:line="185" w:lineRule="auto"/>
              <w:ind w:left="608"/>
              <w:rPr>
                <w:rFonts w:ascii="仿宋" w:hAnsi="仿宋" w:eastAsia="仿宋" w:cs="仿宋"/>
                <w:sz w:val="25"/>
                <w:szCs w:val="25"/>
              </w:rPr>
            </w:pPr>
            <w:r>
              <w:rPr>
                <w:rFonts w:ascii="仿宋" w:hAnsi="仿宋" w:eastAsia="仿宋" w:cs="仿宋"/>
                <w:sz w:val="25"/>
                <w:szCs w:val="25"/>
              </w:rPr>
              <w:t>4</w:t>
            </w:r>
          </w:p>
        </w:tc>
        <w:tc>
          <w:tcPr>
            <w:tcW w:w="2126" w:type="dxa"/>
            <w:vAlign w:val="top"/>
          </w:tcPr>
          <w:p>
            <w:pPr>
              <w:spacing w:line="283" w:lineRule="auto"/>
              <w:rPr>
                <w:rFonts w:ascii="Arial"/>
                <w:sz w:val="21"/>
              </w:rPr>
            </w:pPr>
          </w:p>
          <w:p>
            <w:pPr>
              <w:spacing w:before="81" w:line="185" w:lineRule="auto"/>
              <w:ind w:left="999"/>
              <w:rPr>
                <w:rFonts w:hint="eastAsia" w:ascii="仿宋" w:hAnsi="仿宋" w:eastAsia="仿宋" w:cs="仿宋"/>
                <w:sz w:val="25"/>
                <w:szCs w:val="25"/>
                <w:lang w:eastAsia="zh-CN"/>
              </w:rPr>
            </w:pPr>
            <w:r>
              <w:rPr>
                <w:rFonts w:hint="eastAsia" w:ascii="仿宋" w:hAnsi="仿宋" w:eastAsia="仿宋" w:cs="仿宋"/>
                <w:sz w:val="25"/>
                <w:szCs w:val="25"/>
                <w:lang w:val="en-US" w:eastAsia="zh-CN"/>
              </w:rPr>
              <w:t>4</w:t>
            </w:r>
          </w:p>
        </w:tc>
        <w:tc>
          <w:tcPr>
            <w:tcW w:w="2950" w:type="dxa"/>
            <w:vAlign w:val="top"/>
          </w:tcPr>
          <w:p>
            <w:pPr>
              <w:spacing w:line="283" w:lineRule="auto"/>
              <w:rPr>
                <w:rFonts w:ascii="Arial"/>
                <w:sz w:val="21"/>
              </w:rPr>
            </w:pPr>
          </w:p>
          <w:p>
            <w:pPr>
              <w:spacing w:before="81" w:line="185" w:lineRule="auto"/>
              <w:ind w:left="1416"/>
              <w:rPr>
                <w:rFonts w:ascii="仿宋" w:hAnsi="仿宋" w:eastAsia="仿宋" w:cs="仿宋"/>
                <w:sz w:val="25"/>
                <w:szCs w:val="25"/>
              </w:rPr>
            </w:pPr>
            <w:r>
              <w:rPr>
                <w:rFonts w:ascii="仿宋" w:hAnsi="仿宋" w:eastAsia="仿宋" w:cs="仿宋"/>
                <w:sz w:val="25"/>
                <w:szCs w:val="25"/>
              </w:rPr>
              <w:t>6</w:t>
            </w:r>
          </w:p>
        </w:tc>
        <w:tc>
          <w:tcPr>
            <w:tcW w:w="1382" w:type="dxa"/>
            <w:vAlign w:val="top"/>
          </w:tcPr>
          <w:p>
            <w:pPr>
              <w:spacing w:line="283" w:lineRule="auto"/>
              <w:rPr>
                <w:rFonts w:ascii="Arial"/>
                <w:sz w:val="21"/>
              </w:rPr>
            </w:pPr>
          </w:p>
          <w:p>
            <w:pPr>
              <w:spacing w:before="81" w:line="185" w:lineRule="auto"/>
              <w:ind w:left="636"/>
              <w:rPr>
                <w:rFonts w:ascii="仿宋" w:hAnsi="仿宋" w:eastAsia="仿宋" w:cs="仿宋"/>
                <w:sz w:val="25"/>
                <w:szCs w:val="25"/>
              </w:rPr>
            </w:pPr>
            <w:r>
              <w:rPr>
                <w:rFonts w:ascii="仿宋" w:hAnsi="仿宋" w:eastAsia="仿宋" w:cs="仿宋"/>
                <w:sz w:val="25"/>
                <w:szCs w:val="25"/>
              </w:rP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3" w:hRule="atLeast"/>
        </w:trPr>
        <w:tc>
          <w:tcPr>
            <w:tcW w:w="883" w:type="dxa"/>
            <w:tcBorders>
              <w:left w:val="single" w:color="000000" w:sz="10" w:space="0"/>
            </w:tcBorders>
            <w:vAlign w:val="top"/>
          </w:tcPr>
          <w:p>
            <w:pPr>
              <w:spacing w:before="322" w:line="231" w:lineRule="auto"/>
              <w:ind w:left="119"/>
              <w:rPr>
                <w:rFonts w:ascii="仿宋" w:hAnsi="仿宋" w:eastAsia="仿宋" w:cs="仿宋"/>
                <w:sz w:val="25"/>
                <w:szCs w:val="25"/>
              </w:rPr>
            </w:pPr>
            <w:r>
              <w:rPr>
                <w:rFonts w:ascii="仿宋" w:hAnsi="仿宋" w:eastAsia="仿宋" w:cs="仿宋"/>
                <w:spacing w:val="-2"/>
                <w:sz w:val="25"/>
                <w:szCs w:val="25"/>
              </w:rPr>
              <w:t>力工</w:t>
            </w:r>
          </w:p>
        </w:tc>
        <w:tc>
          <w:tcPr>
            <w:tcW w:w="1358" w:type="dxa"/>
            <w:vAlign w:val="top"/>
          </w:tcPr>
          <w:p>
            <w:pPr>
              <w:spacing w:line="284" w:lineRule="auto"/>
              <w:rPr>
                <w:rFonts w:ascii="Arial"/>
                <w:sz w:val="21"/>
              </w:rPr>
            </w:pPr>
          </w:p>
          <w:p>
            <w:pPr>
              <w:spacing w:before="82" w:line="185" w:lineRule="auto"/>
              <w:ind w:left="611"/>
              <w:rPr>
                <w:rFonts w:ascii="仿宋" w:hAnsi="仿宋" w:eastAsia="仿宋" w:cs="仿宋"/>
                <w:sz w:val="25"/>
                <w:szCs w:val="25"/>
              </w:rPr>
            </w:pPr>
            <w:r>
              <w:rPr>
                <w:rFonts w:ascii="仿宋" w:hAnsi="仿宋" w:eastAsia="仿宋" w:cs="仿宋"/>
                <w:sz w:val="25"/>
                <w:szCs w:val="25"/>
              </w:rPr>
              <w:t>6</w:t>
            </w:r>
          </w:p>
        </w:tc>
        <w:tc>
          <w:tcPr>
            <w:tcW w:w="2126" w:type="dxa"/>
            <w:vAlign w:val="top"/>
          </w:tcPr>
          <w:p>
            <w:pPr>
              <w:spacing w:line="284" w:lineRule="auto"/>
              <w:rPr>
                <w:rFonts w:ascii="Arial"/>
                <w:sz w:val="21"/>
              </w:rPr>
            </w:pPr>
          </w:p>
          <w:p>
            <w:pPr>
              <w:spacing w:before="82" w:line="185" w:lineRule="auto"/>
              <w:ind w:left="999"/>
              <w:rPr>
                <w:rFonts w:hint="default" w:ascii="仿宋" w:hAnsi="仿宋" w:eastAsia="仿宋" w:cs="仿宋"/>
                <w:sz w:val="25"/>
                <w:szCs w:val="25"/>
                <w:lang w:val="en-US" w:eastAsia="zh-CN"/>
              </w:rPr>
            </w:pPr>
            <w:r>
              <w:rPr>
                <w:rFonts w:hint="eastAsia" w:ascii="仿宋" w:hAnsi="仿宋" w:eastAsia="仿宋" w:cs="仿宋"/>
                <w:sz w:val="25"/>
                <w:szCs w:val="25"/>
                <w:lang w:val="en-US" w:eastAsia="zh-CN"/>
              </w:rPr>
              <w:t>12</w:t>
            </w:r>
          </w:p>
        </w:tc>
        <w:tc>
          <w:tcPr>
            <w:tcW w:w="2950" w:type="dxa"/>
            <w:vAlign w:val="top"/>
          </w:tcPr>
          <w:p>
            <w:pPr>
              <w:spacing w:line="283" w:lineRule="auto"/>
              <w:rPr>
                <w:rFonts w:ascii="Arial"/>
                <w:sz w:val="21"/>
              </w:rPr>
            </w:pPr>
          </w:p>
          <w:p>
            <w:pPr>
              <w:spacing w:before="81" w:line="186" w:lineRule="auto"/>
              <w:ind w:left="1368"/>
              <w:rPr>
                <w:rFonts w:hint="eastAsia" w:ascii="仿宋" w:hAnsi="仿宋" w:eastAsia="仿宋" w:cs="仿宋"/>
                <w:sz w:val="25"/>
                <w:szCs w:val="25"/>
                <w:lang w:eastAsia="zh-CN"/>
              </w:rPr>
            </w:pPr>
            <w:r>
              <w:rPr>
                <w:rFonts w:ascii="仿宋" w:hAnsi="仿宋" w:eastAsia="仿宋" w:cs="仿宋"/>
                <w:spacing w:val="-10"/>
                <w:sz w:val="25"/>
                <w:szCs w:val="25"/>
              </w:rPr>
              <w:t>1</w:t>
            </w:r>
            <w:r>
              <w:rPr>
                <w:rFonts w:hint="eastAsia" w:ascii="仿宋" w:hAnsi="仿宋" w:eastAsia="仿宋" w:cs="仿宋"/>
                <w:spacing w:val="-10"/>
                <w:sz w:val="25"/>
                <w:szCs w:val="25"/>
                <w:lang w:val="en-US" w:eastAsia="zh-CN"/>
              </w:rPr>
              <w:t>5</w:t>
            </w:r>
          </w:p>
        </w:tc>
        <w:tc>
          <w:tcPr>
            <w:tcW w:w="1382" w:type="dxa"/>
            <w:vAlign w:val="top"/>
          </w:tcPr>
          <w:p>
            <w:pPr>
              <w:spacing w:line="287" w:lineRule="auto"/>
              <w:rPr>
                <w:rFonts w:ascii="Arial"/>
                <w:sz w:val="21"/>
              </w:rPr>
            </w:pPr>
          </w:p>
          <w:p>
            <w:pPr>
              <w:spacing w:before="81" w:line="183" w:lineRule="auto"/>
              <w:ind w:left="636"/>
              <w:rPr>
                <w:rFonts w:ascii="仿宋" w:hAnsi="仿宋" w:eastAsia="仿宋" w:cs="仿宋"/>
                <w:sz w:val="25"/>
                <w:szCs w:val="25"/>
              </w:rPr>
            </w:pPr>
            <w:r>
              <w:rPr>
                <w:rFonts w:ascii="仿宋" w:hAnsi="仿宋" w:eastAsia="仿宋" w:cs="仿宋"/>
                <w:sz w:val="25"/>
                <w:szCs w:val="25"/>
              </w:rPr>
              <w:t>5</w:t>
            </w:r>
          </w:p>
        </w:tc>
      </w:tr>
    </w:tbl>
    <w:p>
      <w:pPr>
        <w:spacing w:before="91" w:line="222" w:lineRule="auto"/>
        <w:ind w:left="3064"/>
        <w:rPr>
          <w:rFonts w:hint="eastAsia" w:asciiTheme="minorEastAsia" w:hAnsiTheme="minorEastAsia" w:eastAsiaTheme="minorEastAsia" w:cstheme="minorEastAsia"/>
          <w:sz w:val="24"/>
          <w:szCs w:val="24"/>
        </w:rPr>
      </w:pPr>
    </w:p>
    <w:p>
      <w:pPr>
        <w:rPr>
          <w:rFonts w:hint="eastAsia"/>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2" w:firstLineChars="200"/>
        <w:jc w:val="left"/>
        <w:textAlignment w:val="auto"/>
        <w:rPr>
          <w:rFonts w:hint="eastAsia" w:asciiTheme="minorEastAsia" w:hAnsiTheme="minorEastAsia" w:eastAsiaTheme="minorEastAsia" w:cstheme="minorEastAsia"/>
          <w:b/>
          <w:bCs/>
          <w:sz w:val="24"/>
          <w:lang w:val="en-US" w:eastAsia="zh-CN"/>
        </w:rPr>
      </w:pPr>
      <w:r>
        <w:rPr>
          <w:rFonts w:hint="eastAsia" w:asciiTheme="minorEastAsia" w:hAnsiTheme="minorEastAsia" w:eastAsiaTheme="minorEastAsia" w:cstheme="minorEastAsia"/>
          <w:b/>
          <w:bCs/>
          <w:sz w:val="24"/>
          <w:lang w:val="en-US" w:eastAsia="zh-CN"/>
        </w:rPr>
        <w:t>拟投入施工的技术工人及普工的人数及职责分工</w:t>
      </w:r>
    </w:p>
    <w:tbl>
      <w:tblPr>
        <w:tblStyle w:val="23"/>
        <w:tblW w:w="8748"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63"/>
        <w:gridCol w:w="1372"/>
        <w:gridCol w:w="1984"/>
        <w:gridCol w:w="38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1563" w:type="dxa"/>
            <w:tcBorders>
              <w:top w:val="single" w:color="000000" w:sz="2" w:space="0"/>
              <w:left w:val="single" w:color="000000" w:sz="2" w:space="0"/>
            </w:tcBorders>
            <w:vAlign w:val="top"/>
          </w:tcPr>
          <w:p>
            <w:pPr>
              <w:spacing w:before="40" w:line="222" w:lineRule="auto"/>
              <w:ind w:left="553"/>
              <w:rPr>
                <w:rFonts w:ascii="仿宋" w:hAnsi="仿宋" w:eastAsia="仿宋" w:cs="仿宋"/>
                <w:sz w:val="24"/>
                <w:szCs w:val="24"/>
              </w:rPr>
            </w:pPr>
            <w:r>
              <w:rPr>
                <w:rFonts w:ascii="仿宋" w:hAnsi="仿宋" w:eastAsia="仿宋" w:cs="仿宋"/>
                <w:spacing w:val="-8"/>
                <w:sz w:val="24"/>
                <w:szCs w:val="24"/>
              </w:rPr>
              <w:t>序号</w:t>
            </w:r>
          </w:p>
        </w:tc>
        <w:tc>
          <w:tcPr>
            <w:tcW w:w="1372" w:type="dxa"/>
            <w:tcBorders>
              <w:top w:val="single" w:color="000000" w:sz="2" w:space="0"/>
            </w:tcBorders>
            <w:vAlign w:val="top"/>
          </w:tcPr>
          <w:p>
            <w:pPr>
              <w:spacing w:before="40" w:line="223" w:lineRule="auto"/>
              <w:ind w:left="458"/>
              <w:rPr>
                <w:rFonts w:ascii="仿宋" w:hAnsi="仿宋" w:eastAsia="仿宋" w:cs="仿宋"/>
                <w:sz w:val="24"/>
                <w:szCs w:val="24"/>
              </w:rPr>
            </w:pPr>
            <w:r>
              <w:rPr>
                <w:rFonts w:ascii="仿宋" w:hAnsi="仿宋" w:eastAsia="仿宋" w:cs="仿宋"/>
                <w:spacing w:val="-10"/>
                <w:sz w:val="24"/>
                <w:szCs w:val="24"/>
              </w:rPr>
              <w:t>人数</w:t>
            </w:r>
          </w:p>
        </w:tc>
        <w:tc>
          <w:tcPr>
            <w:tcW w:w="1984" w:type="dxa"/>
            <w:tcBorders>
              <w:top w:val="single" w:color="000000" w:sz="2" w:space="0"/>
            </w:tcBorders>
            <w:vAlign w:val="top"/>
          </w:tcPr>
          <w:p>
            <w:pPr>
              <w:spacing w:before="39" w:line="222" w:lineRule="auto"/>
              <w:ind w:left="552"/>
              <w:rPr>
                <w:rFonts w:ascii="仿宋" w:hAnsi="仿宋" w:eastAsia="仿宋" w:cs="仿宋"/>
                <w:sz w:val="24"/>
                <w:szCs w:val="24"/>
              </w:rPr>
            </w:pPr>
            <w:r>
              <w:rPr>
                <w:rFonts w:ascii="仿宋" w:hAnsi="仿宋" w:eastAsia="仿宋" w:cs="仿宋"/>
                <w:spacing w:val="-12"/>
                <w:sz w:val="24"/>
                <w:szCs w:val="24"/>
              </w:rPr>
              <w:t>岗位分工</w:t>
            </w:r>
          </w:p>
        </w:tc>
        <w:tc>
          <w:tcPr>
            <w:tcW w:w="3829" w:type="dxa"/>
            <w:tcBorders>
              <w:top w:val="single" w:color="000000" w:sz="2" w:space="0"/>
              <w:right w:val="single" w:color="000000" w:sz="2" w:space="0"/>
            </w:tcBorders>
            <w:vAlign w:val="top"/>
          </w:tcPr>
          <w:p>
            <w:pPr>
              <w:spacing w:before="40" w:line="224" w:lineRule="auto"/>
              <w:ind w:left="1451"/>
              <w:rPr>
                <w:rFonts w:ascii="仿宋" w:hAnsi="仿宋" w:eastAsia="仿宋" w:cs="仿宋"/>
                <w:sz w:val="24"/>
                <w:szCs w:val="24"/>
              </w:rPr>
            </w:pPr>
            <w:r>
              <w:rPr>
                <w:rFonts w:ascii="仿宋" w:hAnsi="仿宋" w:eastAsia="仿宋" w:cs="仿宋"/>
                <w:spacing w:val="-6"/>
                <w:sz w:val="24"/>
                <w:szCs w:val="24"/>
              </w:rPr>
              <w:t>主要职责</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8" w:hRule="atLeast"/>
        </w:trPr>
        <w:tc>
          <w:tcPr>
            <w:tcW w:w="1563" w:type="dxa"/>
            <w:vMerge w:val="restart"/>
            <w:tcBorders>
              <w:left w:val="single" w:color="000000" w:sz="2" w:space="0"/>
              <w:bottom w:val="nil"/>
            </w:tcBorders>
            <w:vAlign w:val="top"/>
          </w:tcPr>
          <w:p>
            <w:pPr>
              <w:spacing w:before="33" w:line="466" w:lineRule="exact"/>
              <w:ind w:left="120"/>
              <w:rPr>
                <w:rFonts w:hint="eastAsia" w:ascii="仿宋" w:hAnsi="仿宋" w:eastAsia="仿宋" w:cs="仿宋"/>
                <w:spacing w:val="-2"/>
                <w:position w:val="17"/>
                <w:sz w:val="24"/>
                <w:szCs w:val="24"/>
                <w:lang w:eastAsia="zh-CN"/>
              </w:rPr>
            </w:pPr>
          </w:p>
          <w:p>
            <w:pPr>
              <w:spacing w:before="33" w:line="466" w:lineRule="exact"/>
              <w:ind w:left="120"/>
              <w:rPr>
                <w:rFonts w:hint="eastAsia" w:ascii="仿宋" w:hAnsi="仿宋" w:eastAsia="仿宋" w:cs="仿宋"/>
                <w:spacing w:val="-2"/>
                <w:position w:val="17"/>
                <w:sz w:val="24"/>
                <w:szCs w:val="24"/>
                <w:lang w:eastAsia="zh-CN"/>
              </w:rPr>
            </w:pPr>
          </w:p>
          <w:p>
            <w:pPr>
              <w:spacing w:before="33" w:line="466" w:lineRule="exact"/>
              <w:ind w:left="120"/>
              <w:rPr>
                <w:rFonts w:hint="eastAsia" w:ascii="仿宋" w:hAnsi="仿宋" w:eastAsia="仿宋" w:cs="仿宋"/>
                <w:spacing w:val="-2"/>
                <w:position w:val="17"/>
                <w:sz w:val="24"/>
                <w:szCs w:val="24"/>
                <w:lang w:eastAsia="zh-CN"/>
              </w:rPr>
            </w:pPr>
          </w:p>
          <w:p>
            <w:pPr>
              <w:spacing w:before="33" w:line="466" w:lineRule="exact"/>
              <w:rPr>
                <w:rFonts w:hint="eastAsia" w:ascii="仿宋" w:hAnsi="仿宋" w:eastAsia="仿宋" w:cs="仿宋"/>
                <w:spacing w:val="-2"/>
                <w:position w:val="17"/>
                <w:sz w:val="24"/>
                <w:szCs w:val="24"/>
                <w:lang w:eastAsia="zh-CN"/>
              </w:rPr>
            </w:pPr>
          </w:p>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前场</w:t>
            </w:r>
          </w:p>
        </w:tc>
        <w:tc>
          <w:tcPr>
            <w:tcW w:w="1372"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4人</w:t>
            </w:r>
          </w:p>
        </w:tc>
        <w:tc>
          <w:tcPr>
            <w:tcW w:w="1984"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钻孔</w:t>
            </w:r>
          </w:p>
        </w:tc>
        <w:tc>
          <w:tcPr>
            <w:tcW w:w="3829" w:type="dxa"/>
            <w:tcBorders>
              <w:right w:val="single" w:color="000000" w:sz="2" w:space="0"/>
            </w:tcBorders>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负责主动柔性网挂网前钻孔工作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7" w:hRule="atLeast"/>
        </w:trPr>
        <w:tc>
          <w:tcPr>
            <w:tcW w:w="1563" w:type="dxa"/>
            <w:vMerge w:val="continue"/>
            <w:tcBorders>
              <w:top w:val="nil"/>
              <w:left w:val="single" w:color="000000" w:sz="2" w:space="0"/>
              <w:bottom w:val="nil"/>
            </w:tcBorders>
            <w:vAlign w:val="top"/>
          </w:tcPr>
          <w:p>
            <w:pPr>
              <w:rPr>
                <w:rFonts w:ascii="Arial"/>
                <w:sz w:val="21"/>
              </w:rPr>
            </w:pPr>
          </w:p>
        </w:tc>
        <w:tc>
          <w:tcPr>
            <w:tcW w:w="1372"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val="en-US" w:eastAsia="zh-CN"/>
              </w:rPr>
              <w:t>3</w:t>
            </w:r>
            <w:r>
              <w:rPr>
                <w:rFonts w:hint="eastAsia" w:ascii="仿宋" w:hAnsi="仿宋" w:eastAsia="仿宋" w:cs="仿宋"/>
                <w:spacing w:val="-2"/>
                <w:position w:val="17"/>
                <w:sz w:val="24"/>
                <w:szCs w:val="24"/>
                <w:lang w:eastAsia="zh-CN"/>
              </w:rPr>
              <w:t>人</w:t>
            </w:r>
          </w:p>
        </w:tc>
        <w:tc>
          <w:tcPr>
            <w:tcW w:w="1984"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放样</w:t>
            </w:r>
          </w:p>
        </w:tc>
        <w:tc>
          <w:tcPr>
            <w:tcW w:w="3829" w:type="dxa"/>
            <w:tcBorders>
              <w:right w:val="single" w:color="000000" w:sz="2" w:space="0"/>
            </w:tcBorders>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协助测量技术人员做好放样工作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0" w:hRule="atLeast"/>
        </w:trPr>
        <w:tc>
          <w:tcPr>
            <w:tcW w:w="1563" w:type="dxa"/>
            <w:vMerge w:val="continue"/>
            <w:tcBorders>
              <w:top w:val="nil"/>
              <w:left w:val="single" w:color="000000" w:sz="2" w:space="0"/>
              <w:bottom w:val="nil"/>
            </w:tcBorders>
            <w:vAlign w:val="top"/>
          </w:tcPr>
          <w:p>
            <w:pPr>
              <w:rPr>
                <w:rFonts w:ascii="Arial"/>
                <w:sz w:val="21"/>
              </w:rPr>
            </w:pPr>
          </w:p>
        </w:tc>
        <w:tc>
          <w:tcPr>
            <w:tcW w:w="1372"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val="en-US" w:eastAsia="zh-CN"/>
              </w:rPr>
              <w:t>6</w:t>
            </w:r>
            <w:r>
              <w:rPr>
                <w:rFonts w:hint="eastAsia" w:ascii="仿宋" w:hAnsi="仿宋" w:eastAsia="仿宋" w:cs="仿宋"/>
                <w:spacing w:val="-2"/>
                <w:position w:val="17"/>
                <w:sz w:val="24"/>
                <w:szCs w:val="24"/>
                <w:lang w:eastAsia="zh-CN"/>
              </w:rPr>
              <w:t>人</w:t>
            </w:r>
          </w:p>
        </w:tc>
        <w:tc>
          <w:tcPr>
            <w:tcW w:w="1984"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主动柔性网系统</w:t>
            </w:r>
          </w:p>
        </w:tc>
        <w:tc>
          <w:tcPr>
            <w:tcW w:w="3829" w:type="dxa"/>
            <w:tcBorders>
              <w:right w:val="single" w:color="000000" w:sz="2" w:space="0"/>
            </w:tcBorders>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安装锚杆并注入砂浆、安装主动柔性网</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2" w:hRule="atLeast"/>
        </w:trPr>
        <w:tc>
          <w:tcPr>
            <w:tcW w:w="1563" w:type="dxa"/>
            <w:vMerge w:val="continue"/>
            <w:tcBorders>
              <w:top w:val="nil"/>
              <w:left w:val="single" w:color="000000" w:sz="2" w:space="0"/>
              <w:bottom w:val="nil"/>
            </w:tcBorders>
            <w:vAlign w:val="top"/>
          </w:tcPr>
          <w:p>
            <w:pPr>
              <w:rPr>
                <w:rFonts w:ascii="Arial"/>
                <w:sz w:val="21"/>
              </w:rPr>
            </w:pPr>
          </w:p>
        </w:tc>
        <w:tc>
          <w:tcPr>
            <w:tcW w:w="1372"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val="en-US" w:eastAsia="zh-CN"/>
              </w:rPr>
              <w:t>10</w:t>
            </w:r>
            <w:r>
              <w:rPr>
                <w:rFonts w:hint="eastAsia" w:ascii="仿宋" w:hAnsi="仿宋" w:eastAsia="仿宋" w:cs="仿宋"/>
                <w:spacing w:val="-2"/>
                <w:position w:val="17"/>
                <w:sz w:val="24"/>
                <w:szCs w:val="24"/>
                <w:lang w:eastAsia="zh-CN"/>
              </w:rPr>
              <w:t>人</w:t>
            </w:r>
          </w:p>
        </w:tc>
        <w:tc>
          <w:tcPr>
            <w:tcW w:w="1984"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清理边坡</w:t>
            </w:r>
          </w:p>
        </w:tc>
        <w:tc>
          <w:tcPr>
            <w:tcW w:w="3829" w:type="dxa"/>
            <w:tcBorders>
              <w:right w:val="single" w:color="000000" w:sz="2" w:space="0"/>
            </w:tcBorders>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负责清理平台上落石旧圬工及裂缝注浆处理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2" w:hRule="atLeast"/>
        </w:trPr>
        <w:tc>
          <w:tcPr>
            <w:tcW w:w="1563" w:type="dxa"/>
            <w:vMerge w:val="continue"/>
            <w:tcBorders>
              <w:top w:val="nil"/>
              <w:left w:val="single" w:color="000000" w:sz="2" w:space="0"/>
              <w:bottom w:val="nil"/>
            </w:tcBorders>
            <w:vAlign w:val="top"/>
          </w:tcPr>
          <w:p>
            <w:pPr>
              <w:rPr>
                <w:rFonts w:ascii="Arial"/>
                <w:sz w:val="21"/>
              </w:rPr>
            </w:pPr>
          </w:p>
        </w:tc>
        <w:tc>
          <w:tcPr>
            <w:tcW w:w="1372"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2人</w:t>
            </w:r>
          </w:p>
        </w:tc>
        <w:tc>
          <w:tcPr>
            <w:tcW w:w="1984"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交通管制</w:t>
            </w:r>
          </w:p>
        </w:tc>
        <w:tc>
          <w:tcPr>
            <w:tcW w:w="3829" w:type="dxa"/>
            <w:tcBorders>
              <w:right w:val="single" w:color="000000" w:sz="2" w:space="0"/>
            </w:tcBorders>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负责现场交通指挥维护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1" w:hRule="atLeast"/>
        </w:trPr>
        <w:tc>
          <w:tcPr>
            <w:tcW w:w="1563" w:type="dxa"/>
            <w:vMerge w:val="continue"/>
            <w:tcBorders>
              <w:top w:val="nil"/>
              <w:left w:val="single" w:color="000000" w:sz="2" w:space="0"/>
              <w:bottom w:val="nil"/>
            </w:tcBorders>
            <w:vAlign w:val="top"/>
          </w:tcPr>
          <w:p>
            <w:pPr>
              <w:rPr>
                <w:rFonts w:ascii="Arial"/>
                <w:sz w:val="21"/>
              </w:rPr>
            </w:pPr>
          </w:p>
        </w:tc>
        <w:tc>
          <w:tcPr>
            <w:tcW w:w="1372"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val="en-US" w:eastAsia="zh-CN"/>
              </w:rPr>
              <w:t>6</w:t>
            </w:r>
            <w:r>
              <w:rPr>
                <w:rFonts w:hint="eastAsia" w:ascii="仿宋" w:hAnsi="仿宋" w:eastAsia="仿宋" w:cs="仿宋"/>
                <w:spacing w:val="-2"/>
                <w:position w:val="17"/>
                <w:sz w:val="24"/>
                <w:szCs w:val="24"/>
                <w:lang w:eastAsia="zh-CN"/>
              </w:rPr>
              <w:t>人</w:t>
            </w:r>
          </w:p>
        </w:tc>
        <w:tc>
          <w:tcPr>
            <w:tcW w:w="1984"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锚杆喷射砼系统</w:t>
            </w:r>
          </w:p>
        </w:tc>
        <w:tc>
          <w:tcPr>
            <w:tcW w:w="3829" w:type="dxa"/>
            <w:tcBorders>
              <w:right w:val="single" w:color="000000" w:sz="2" w:space="0"/>
            </w:tcBorders>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安装锚杆并灌注砂浆，坡面钢筋绑扎并喷射砼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1563" w:type="dxa"/>
            <w:vMerge w:val="continue"/>
            <w:tcBorders>
              <w:top w:val="nil"/>
              <w:left w:val="single" w:color="000000" w:sz="2" w:space="0"/>
            </w:tcBorders>
            <w:vAlign w:val="top"/>
          </w:tcPr>
          <w:p>
            <w:pPr>
              <w:rPr>
                <w:rFonts w:ascii="Arial"/>
                <w:sz w:val="21"/>
              </w:rPr>
            </w:pPr>
          </w:p>
        </w:tc>
        <w:tc>
          <w:tcPr>
            <w:tcW w:w="1372"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val="en-US" w:eastAsia="zh-CN"/>
              </w:rPr>
              <w:t>2</w:t>
            </w:r>
            <w:r>
              <w:rPr>
                <w:rFonts w:hint="eastAsia" w:ascii="仿宋" w:hAnsi="仿宋" w:eastAsia="仿宋" w:cs="仿宋"/>
                <w:spacing w:val="-2"/>
                <w:position w:val="17"/>
                <w:sz w:val="24"/>
                <w:szCs w:val="24"/>
                <w:lang w:eastAsia="zh-CN"/>
              </w:rPr>
              <w:t>人</w:t>
            </w:r>
          </w:p>
        </w:tc>
        <w:tc>
          <w:tcPr>
            <w:tcW w:w="1984" w:type="dxa"/>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试验检测</w:t>
            </w:r>
          </w:p>
        </w:tc>
        <w:tc>
          <w:tcPr>
            <w:tcW w:w="3829" w:type="dxa"/>
            <w:tcBorders>
              <w:right w:val="single" w:color="000000" w:sz="2" w:space="0"/>
            </w:tcBorders>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检测压实度、厚度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5" w:hRule="atLeast"/>
        </w:trPr>
        <w:tc>
          <w:tcPr>
            <w:tcW w:w="1563" w:type="dxa"/>
            <w:vMerge w:val="restart"/>
            <w:tcBorders>
              <w:left w:val="single" w:color="000000" w:sz="2" w:space="0"/>
              <w:bottom w:val="nil"/>
            </w:tcBorders>
            <w:vAlign w:val="top"/>
          </w:tcPr>
          <w:p>
            <w:pPr>
              <w:spacing w:line="298" w:lineRule="auto"/>
              <w:rPr>
                <w:rFonts w:ascii="Arial"/>
                <w:sz w:val="21"/>
              </w:rPr>
            </w:pPr>
          </w:p>
          <w:p>
            <w:pPr>
              <w:spacing w:line="298" w:lineRule="auto"/>
              <w:rPr>
                <w:rFonts w:ascii="Arial"/>
                <w:sz w:val="21"/>
              </w:rPr>
            </w:pPr>
          </w:p>
          <w:p>
            <w:pPr>
              <w:spacing w:line="298" w:lineRule="auto"/>
              <w:rPr>
                <w:rFonts w:ascii="Arial"/>
                <w:sz w:val="21"/>
              </w:rPr>
            </w:pPr>
          </w:p>
          <w:p>
            <w:pPr>
              <w:spacing w:before="78" w:line="223" w:lineRule="auto"/>
              <w:ind w:left="555"/>
              <w:rPr>
                <w:rFonts w:ascii="仿宋" w:hAnsi="仿宋" w:eastAsia="仿宋" w:cs="仿宋"/>
                <w:sz w:val="24"/>
                <w:szCs w:val="24"/>
              </w:rPr>
            </w:pPr>
            <w:r>
              <w:rPr>
                <w:rFonts w:ascii="仿宋" w:hAnsi="仿宋" w:eastAsia="仿宋" w:cs="仿宋"/>
                <w:spacing w:val="-9"/>
                <w:sz w:val="24"/>
                <w:szCs w:val="24"/>
              </w:rPr>
              <w:t>后场</w:t>
            </w:r>
          </w:p>
        </w:tc>
        <w:tc>
          <w:tcPr>
            <w:tcW w:w="1372" w:type="dxa"/>
            <w:vAlign w:val="top"/>
          </w:tcPr>
          <w:p>
            <w:pPr>
              <w:spacing w:before="33" w:line="466" w:lineRule="exact"/>
              <w:ind w:left="120"/>
              <w:rPr>
                <w:rFonts w:hint="eastAsia" w:ascii="仿宋" w:hAnsi="仿宋" w:eastAsia="仿宋" w:cs="仿宋"/>
                <w:spacing w:val="-2"/>
                <w:position w:val="17"/>
                <w:sz w:val="24"/>
                <w:szCs w:val="24"/>
                <w:lang w:eastAsia="zh-CN"/>
              </w:rPr>
            </w:pPr>
          </w:p>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1人</w:t>
            </w:r>
          </w:p>
        </w:tc>
        <w:tc>
          <w:tcPr>
            <w:tcW w:w="1984" w:type="dxa"/>
            <w:vAlign w:val="top"/>
          </w:tcPr>
          <w:p>
            <w:pPr>
              <w:spacing w:before="33" w:line="466" w:lineRule="exact"/>
              <w:ind w:left="120"/>
              <w:rPr>
                <w:rFonts w:hint="eastAsia" w:ascii="仿宋" w:hAnsi="仿宋" w:eastAsia="仿宋" w:cs="仿宋"/>
                <w:spacing w:val="-2"/>
                <w:position w:val="17"/>
                <w:sz w:val="24"/>
                <w:szCs w:val="24"/>
                <w:lang w:eastAsia="zh-CN"/>
              </w:rPr>
            </w:pPr>
          </w:p>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后场看冷料仓</w:t>
            </w:r>
          </w:p>
        </w:tc>
        <w:tc>
          <w:tcPr>
            <w:tcW w:w="3829" w:type="dxa"/>
            <w:tcBorders>
              <w:right w:val="single" w:color="000000" w:sz="2" w:space="0"/>
            </w:tcBorders>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铲车上料时的指挥，混料时要及时 分开，检查原材料是否有其他杂物</w:t>
            </w:r>
          </w:p>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 并及时处理，指挥上料。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1" w:hRule="atLeast"/>
        </w:trPr>
        <w:tc>
          <w:tcPr>
            <w:tcW w:w="1563" w:type="dxa"/>
            <w:vMerge w:val="continue"/>
            <w:tcBorders>
              <w:top w:val="nil"/>
              <w:left w:val="single" w:color="000000" w:sz="2" w:space="0"/>
              <w:bottom w:val="single" w:color="000000" w:sz="2" w:space="0"/>
            </w:tcBorders>
            <w:vAlign w:val="top"/>
          </w:tcPr>
          <w:p>
            <w:pPr>
              <w:rPr>
                <w:rFonts w:ascii="Arial"/>
                <w:sz w:val="21"/>
              </w:rPr>
            </w:pPr>
          </w:p>
        </w:tc>
        <w:tc>
          <w:tcPr>
            <w:tcW w:w="1372" w:type="dxa"/>
            <w:tcBorders>
              <w:bottom w:val="single" w:color="000000" w:sz="2" w:space="0"/>
            </w:tcBorders>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1人</w:t>
            </w:r>
          </w:p>
        </w:tc>
        <w:tc>
          <w:tcPr>
            <w:tcW w:w="1984" w:type="dxa"/>
            <w:tcBorders>
              <w:bottom w:val="single" w:color="000000" w:sz="2" w:space="0"/>
            </w:tcBorders>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现场收料签收</w:t>
            </w:r>
          </w:p>
        </w:tc>
        <w:tc>
          <w:tcPr>
            <w:tcW w:w="3829" w:type="dxa"/>
            <w:tcBorders>
              <w:bottom w:val="single" w:color="000000" w:sz="2" w:space="0"/>
              <w:right w:val="single" w:color="000000" w:sz="2" w:space="0"/>
            </w:tcBorders>
            <w:vAlign w:val="top"/>
          </w:tcPr>
          <w:p>
            <w:pPr>
              <w:spacing w:before="33" w:line="466" w:lineRule="exact"/>
              <w:ind w:left="120"/>
              <w:rPr>
                <w:rFonts w:hint="eastAsia" w:ascii="仿宋" w:hAnsi="仿宋" w:eastAsia="仿宋" w:cs="仿宋"/>
                <w:spacing w:val="-2"/>
                <w:position w:val="17"/>
                <w:sz w:val="24"/>
                <w:szCs w:val="24"/>
                <w:lang w:eastAsia="zh-CN"/>
              </w:rPr>
            </w:pPr>
            <w:r>
              <w:rPr>
                <w:rFonts w:hint="eastAsia" w:ascii="仿宋" w:hAnsi="仿宋" w:eastAsia="仿宋" w:cs="仿宋"/>
                <w:spacing w:val="-2"/>
                <w:position w:val="17"/>
                <w:sz w:val="24"/>
                <w:szCs w:val="24"/>
                <w:lang w:eastAsia="zh-CN"/>
              </w:rPr>
              <w:t>检查拌合料是否覆盖整齐，检查砼、砂浆是否有异常，如有及时上报</w:t>
            </w:r>
          </w:p>
        </w:tc>
      </w:tr>
    </w:tbl>
    <w:p>
      <w:pPr>
        <w:pStyle w:val="8"/>
        <w:bidi w:val="0"/>
        <w:spacing w:before="0" w:after="0" w:line="240" w:lineRule="auto"/>
        <w:outlineLvl w:val="9"/>
        <w:rPr>
          <w:rFonts w:hint="eastAsia" w:asciiTheme="majorEastAsia" w:hAnsiTheme="majorEastAsia" w:eastAsiaTheme="majorEastAsia" w:cstheme="majorEastAsia"/>
          <w:spacing w:val="-3"/>
          <w:sz w:val="24"/>
          <w:szCs w:val="24"/>
        </w:rPr>
      </w:pPr>
    </w:p>
    <w:p>
      <w:pPr>
        <w:pStyle w:val="9"/>
        <w:bidi w:val="0"/>
        <w:ind w:firstLine="482" w:firstLineChars="200"/>
        <w:rPr>
          <w:rFonts w:hint="eastAsia" w:ascii="宋体" w:hAnsi="宋体" w:eastAsia="宋体" w:cs="宋体"/>
          <w:b/>
          <w:bCs/>
          <w:lang w:val="en-US" w:eastAsia="zh-CN"/>
        </w:rPr>
      </w:pPr>
      <w:bookmarkStart w:id="424" w:name="_Toc17092"/>
      <w:bookmarkStart w:id="425" w:name="_Toc30788"/>
      <w:bookmarkStart w:id="426" w:name="_Toc17144"/>
      <w:r>
        <w:rPr>
          <w:rFonts w:hint="eastAsia" w:ascii="宋体" w:hAnsi="宋体" w:eastAsia="宋体" w:cs="宋体"/>
          <w:sz w:val="24"/>
          <w:szCs w:val="24"/>
          <w:lang w:val="en-US" w:eastAsia="zh-CN"/>
        </w:rPr>
        <w:t>3.3.3施工机械及测试设备组织及配置计划</w:t>
      </w:r>
      <w:bookmarkEnd w:id="424"/>
      <w:bookmarkEnd w:id="425"/>
      <w:bookmarkEnd w:id="42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根据工程特点，本项目暂拟投入吊车、汽车吊车、砼罐车、地泵、运输车、发电机空压机等，水泥砼外购，以保障项目工期及施工生产需求。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pacing w:val="-2"/>
          <w:sz w:val="24"/>
          <w:szCs w:val="24"/>
          <w:lang w:val="en-US" w:eastAsia="zh-CN"/>
        </w:rPr>
      </w:pPr>
      <w:r>
        <w:rPr>
          <w:rFonts w:hint="eastAsia" w:asciiTheme="minorEastAsia" w:hAnsiTheme="minorEastAsia" w:eastAsiaTheme="minorEastAsia" w:cstheme="minorEastAsia"/>
          <w:sz w:val="24"/>
          <w:lang w:val="en-US" w:eastAsia="zh-CN"/>
        </w:rPr>
        <w:t>主要</w:t>
      </w:r>
      <w:r>
        <w:rPr>
          <w:rFonts w:hint="eastAsia" w:asciiTheme="minorEastAsia" w:hAnsiTheme="minorEastAsia" w:eastAsiaTheme="minorEastAsia" w:cstheme="minorEastAsia"/>
          <w:spacing w:val="-2"/>
          <w:sz w:val="24"/>
          <w:szCs w:val="24"/>
          <w:lang w:val="en-US" w:eastAsia="zh-CN"/>
        </w:rPr>
        <w:t>机械</w:t>
      </w:r>
      <w:r>
        <w:rPr>
          <w:rFonts w:hint="eastAsia" w:asciiTheme="minorEastAsia" w:hAnsiTheme="minorEastAsia" w:cstheme="minorEastAsia"/>
          <w:spacing w:val="-2"/>
          <w:sz w:val="24"/>
          <w:szCs w:val="24"/>
          <w:lang w:val="en-US" w:eastAsia="zh-CN"/>
        </w:rPr>
        <w:t>设备</w:t>
      </w:r>
      <w:r>
        <w:rPr>
          <w:rFonts w:hint="eastAsia" w:asciiTheme="minorEastAsia" w:hAnsiTheme="minorEastAsia" w:eastAsiaTheme="minorEastAsia" w:cstheme="minorEastAsia"/>
          <w:spacing w:val="-2"/>
          <w:sz w:val="24"/>
          <w:szCs w:val="24"/>
          <w:lang w:val="en-US" w:eastAsia="zh-CN"/>
        </w:rPr>
        <w:t>配置表</w:t>
      </w:r>
    </w:p>
    <w:tbl>
      <w:tblPr>
        <w:tblStyle w:val="23"/>
        <w:tblW w:w="852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69"/>
        <w:gridCol w:w="2074"/>
        <w:gridCol w:w="1419"/>
        <w:gridCol w:w="1419"/>
        <w:gridCol w:w="1420"/>
        <w:gridCol w:w="142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6" w:hRule="atLeast"/>
        </w:trPr>
        <w:tc>
          <w:tcPr>
            <w:tcW w:w="769" w:type="dxa"/>
            <w:textDirection w:val="tbRlV"/>
            <w:vAlign w:val="top"/>
          </w:tcPr>
          <w:p>
            <w:pPr>
              <w:spacing w:before="259" w:line="202" w:lineRule="auto"/>
              <w:ind w:left="46"/>
              <w:rPr>
                <w:rFonts w:ascii="仿宋" w:hAnsi="仿宋" w:eastAsia="仿宋" w:cs="仿宋"/>
                <w:sz w:val="24"/>
                <w:szCs w:val="24"/>
              </w:rPr>
            </w:pPr>
            <w:r>
              <w:rPr>
                <w:rFonts w:ascii="仿宋" w:hAnsi="仿宋" w:eastAsia="仿宋" w:cs="仿宋"/>
                <w:spacing w:val="44"/>
                <w:sz w:val="24"/>
                <w:szCs w:val="24"/>
              </w:rPr>
              <w:t>序号</w:t>
            </w:r>
          </w:p>
        </w:tc>
        <w:tc>
          <w:tcPr>
            <w:tcW w:w="2074" w:type="dxa"/>
            <w:vAlign w:val="top"/>
          </w:tcPr>
          <w:p>
            <w:pPr>
              <w:spacing w:before="45" w:line="222" w:lineRule="auto"/>
              <w:ind w:left="121"/>
              <w:rPr>
                <w:rFonts w:ascii="仿宋" w:hAnsi="仿宋" w:eastAsia="仿宋" w:cs="仿宋"/>
                <w:sz w:val="24"/>
                <w:szCs w:val="24"/>
              </w:rPr>
            </w:pPr>
            <w:r>
              <w:rPr>
                <w:rFonts w:ascii="仿宋" w:hAnsi="仿宋" w:eastAsia="仿宋" w:cs="仿宋"/>
                <w:spacing w:val="-5"/>
                <w:sz w:val="24"/>
                <w:szCs w:val="24"/>
              </w:rPr>
              <w:t>机械名称</w:t>
            </w:r>
          </w:p>
        </w:tc>
        <w:tc>
          <w:tcPr>
            <w:tcW w:w="1419" w:type="dxa"/>
            <w:vAlign w:val="top"/>
          </w:tcPr>
          <w:p>
            <w:pPr>
              <w:spacing w:before="46" w:line="224" w:lineRule="auto"/>
              <w:ind w:left="137"/>
              <w:rPr>
                <w:rFonts w:ascii="仿宋" w:hAnsi="仿宋" w:eastAsia="仿宋" w:cs="仿宋"/>
                <w:sz w:val="24"/>
                <w:szCs w:val="24"/>
              </w:rPr>
            </w:pPr>
            <w:r>
              <w:rPr>
                <w:rFonts w:ascii="仿宋" w:hAnsi="仿宋" w:eastAsia="仿宋" w:cs="仿宋"/>
                <w:spacing w:val="-15"/>
                <w:sz w:val="24"/>
                <w:szCs w:val="24"/>
              </w:rPr>
              <w:t>型号</w:t>
            </w:r>
          </w:p>
        </w:tc>
        <w:tc>
          <w:tcPr>
            <w:tcW w:w="1419" w:type="dxa"/>
            <w:vAlign w:val="top"/>
          </w:tcPr>
          <w:p>
            <w:pPr>
              <w:spacing w:before="45" w:line="222" w:lineRule="auto"/>
              <w:ind w:left="128"/>
              <w:rPr>
                <w:rFonts w:ascii="仿宋" w:hAnsi="仿宋" w:eastAsia="仿宋" w:cs="仿宋"/>
                <w:sz w:val="24"/>
                <w:szCs w:val="24"/>
              </w:rPr>
            </w:pPr>
            <w:r>
              <w:rPr>
                <w:rFonts w:ascii="仿宋" w:hAnsi="仿宋" w:eastAsia="仿宋" w:cs="仿宋"/>
                <w:spacing w:val="-12"/>
                <w:sz w:val="24"/>
                <w:szCs w:val="24"/>
              </w:rPr>
              <w:t>单位</w:t>
            </w:r>
          </w:p>
        </w:tc>
        <w:tc>
          <w:tcPr>
            <w:tcW w:w="1420" w:type="dxa"/>
            <w:vAlign w:val="top"/>
          </w:tcPr>
          <w:p>
            <w:pPr>
              <w:spacing w:before="45" w:line="224" w:lineRule="auto"/>
              <w:ind w:left="124"/>
              <w:rPr>
                <w:rFonts w:ascii="仿宋" w:hAnsi="仿宋" w:eastAsia="仿宋" w:cs="仿宋"/>
                <w:sz w:val="24"/>
                <w:szCs w:val="24"/>
              </w:rPr>
            </w:pPr>
            <w:r>
              <w:rPr>
                <w:rFonts w:ascii="仿宋" w:hAnsi="仿宋" w:eastAsia="仿宋" w:cs="仿宋"/>
                <w:spacing w:val="-8"/>
                <w:sz w:val="24"/>
                <w:szCs w:val="24"/>
              </w:rPr>
              <w:t>数量</w:t>
            </w:r>
          </w:p>
        </w:tc>
        <w:tc>
          <w:tcPr>
            <w:tcW w:w="1425" w:type="dxa"/>
            <w:vAlign w:val="top"/>
          </w:tcPr>
          <w:p>
            <w:pPr>
              <w:spacing w:before="46" w:line="225" w:lineRule="auto"/>
              <w:ind w:left="128"/>
              <w:rPr>
                <w:rFonts w:ascii="仿宋" w:hAnsi="仿宋" w:eastAsia="仿宋" w:cs="仿宋"/>
                <w:sz w:val="24"/>
                <w:szCs w:val="24"/>
              </w:rPr>
            </w:pPr>
            <w:r>
              <w:rPr>
                <w:rFonts w:ascii="仿宋" w:hAnsi="仿宋" w:eastAsia="仿宋" w:cs="仿宋"/>
                <w:spacing w:val="-10"/>
                <w:sz w:val="24"/>
                <w:szCs w:val="24"/>
              </w:rPr>
              <w:t>备注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69" w:type="dxa"/>
            <w:vAlign w:val="top"/>
          </w:tcPr>
          <w:p>
            <w:pPr>
              <w:spacing w:before="91" w:line="176" w:lineRule="auto"/>
              <w:ind w:left="12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w:t>
            </w:r>
          </w:p>
        </w:tc>
        <w:tc>
          <w:tcPr>
            <w:tcW w:w="2074" w:type="dxa"/>
            <w:vAlign w:val="top"/>
          </w:tcPr>
          <w:p>
            <w:pPr>
              <w:spacing w:before="42" w:line="208" w:lineRule="auto"/>
              <w:ind w:left="125"/>
              <w:rPr>
                <w:rFonts w:hint="eastAsia" w:ascii="仿宋" w:hAnsi="仿宋" w:eastAsia="仿宋" w:cs="仿宋"/>
                <w:spacing w:val="-8"/>
                <w:sz w:val="24"/>
                <w:szCs w:val="24"/>
                <w:lang w:eastAsia="zh-CN"/>
              </w:rPr>
            </w:pPr>
            <w:r>
              <w:rPr>
                <w:rFonts w:hint="eastAsia" w:ascii="仿宋" w:hAnsi="仿宋" w:eastAsia="仿宋" w:cs="仿宋"/>
                <w:spacing w:val="-8"/>
                <w:sz w:val="24"/>
                <w:szCs w:val="24"/>
                <w:lang w:eastAsia="zh-CN"/>
              </w:rPr>
              <w:t>吊车</w:t>
            </w:r>
          </w:p>
        </w:tc>
        <w:tc>
          <w:tcPr>
            <w:tcW w:w="1419" w:type="dxa"/>
            <w:vAlign w:val="top"/>
          </w:tcPr>
          <w:p>
            <w:pPr>
              <w:spacing w:before="91" w:line="176" w:lineRule="auto"/>
              <w:ind w:left="114"/>
              <w:rPr>
                <w:rFonts w:ascii="仿宋" w:hAnsi="仿宋" w:eastAsia="仿宋" w:cs="仿宋"/>
                <w:sz w:val="24"/>
                <w:szCs w:val="24"/>
              </w:rPr>
            </w:pPr>
          </w:p>
        </w:tc>
        <w:tc>
          <w:tcPr>
            <w:tcW w:w="1419" w:type="dxa"/>
            <w:vAlign w:val="top"/>
          </w:tcPr>
          <w:p>
            <w:pPr>
              <w:spacing w:before="42" w:line="208" w:lineRule="auto"/>
              <w:ind w:left="149"/>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1420" w:type="dxa"/>
            <w:vAlign w:val="top"/>
          </w:tcPr>
          <w:p>
            <w:pPr>
              <w:spacing w:before="91" w:line="176" w:lineRule="auto"/>
              <w:ind w:left="115"/>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w:t>
            </w:r>
          </w:p>
        </w:tc>
        <w:tc>
          <w:tcPr>
            <w:tcW w:w="1425" w:type="dxa"/>
            <w:vAlign w:val="top"/>
          </w:tcPr>
          <w:p>
            <w:pPr>
              <w:rPr>
                <w:rFonts w:ascii="Arial"/>
                <w:sz w:val="24"/>
                <w:szCs w:val="24"/>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69" w:type="dxa"/>
            <w:vAlign w:val="top"/>
          </w:tcPr>
          <w:p>
            <w:pPr>
              <w:spacing w:before="91" w:line="176" w:lineRule="auto"/>
              <w:ind w:left="120"/>
              <w:rPr>
                <w:rFonts w:ascii="仿宋" w:hAnsi="仿宋" w:eastAsia="仿宋" w:cs="仿宋"/>
                <w:sz w:val="24"/>
                <w:szCs w:val="24"/>
              </w:rPr>
            </w:pPr>
            <w:r>
              <w:rPr>
                <w:rFonts w:ascii="仿宋" w:hAnsi="仿宋" w:eastAsia="仿宋" w:cs="仿宋"/>
                <w:sz w:val="24"/>
                <w:szCs w:val="24"/>
              </w:rPr>
              <w:t>2</w:t>
            </w:r>
          </w:p>
        </w:tc>
        <w:tc>
          <w:tcPr>
            <w:tcW w:w="2074" w:type="dxa"/>
            <w:vAlign w:val="top"/>
          </w:tcPr>
          <w:p>
            <w:pPr>
              <w:spacing w:before="42" w:line="208" w:lineRule="auto"/>
              <w:ind w:left="125"/>
              <w:rPr>
                <w:rFonts w:hint="eastAsia" w:ascii="仿宋" w:hAnsi="仿宋" w:eastAsia="仿宋" w:cs="仿宋"/>
                <w:sz w:val="24"/>
                <w:szCs w:val="24"/>
                <w:lang w:eastAsia="zh-CN"/>
              </w:rPr>
            </w:pPr>
            <w:r>
              <w:rPr>
                <w:rFonts w:hint="eastAsia" w:ascii="仿宋" w:hAnsi="仿宋" w:eastAsia="仿宋" w:cs="仿宋"/>
                <w:spacing w:val="-8"/>
                <w:sz w:val="24"/>
                <w:szCs w:val="24"/>
                <w:lang w:eastAsia="zh-CN"/>
              </w:rPr>
              <w:t>地泵</w:t>
            </w:r>
          </w:p>
        </w:tc>
        <w:tc>
          <w:tcPr>
            <w:tcW w:w="1419" w:type="dxa"/>
            <w:vAlign w:val="top"/>
          </w:tcPr>
          <w:p>
            <w:pPr>
              <w:spacing w:before="91" w:line="176" w:lineRule="auto"/>
              <w:ind w:left="114"/>
              <w:rPr>
                <w:rFonts w:ascii="仿宋" w:hAnsi="仿宋" w:eastAsia="仿宋" w:cs="仿宋"/>
                <w:sz w:val="24"/>
                <w:szCs w:val="24"/>
              </w:rPr>
            </w:pPr>
          </w:p>
        </w:tc>
        <w:tc>
          <w:tcPr>
            <w:tcW w:w="1419" w:type="dxa"/>
            <w:vAlign w:val="top"/>
          </w:tcPr>
          <w:p>
            <w:pPr>
              <w:spacing w:before="42" w:line="208" w:lineRule="auto"/>
              <w:ind w:left="149"/>
              <w:rPr>
                <w:rFonts w:ascii="仿宋" w:hAnsi="仿宋" w:eastAsia="仿宋" w:cs="仿宋"/>
                <w:sz w:val="24"/>
                <w:szCs w:val="24"/>
              </w:rPr>
            </w:pPr>
            <w:r>
              <w:rPr>
                <w:rFonts w:ascii="仿宋" w:hAnsi="仿宋" w:eastAsia="仿宋" w:cs="仿宋"/>
                <w:sz w:val="24"/>
                <w:szCs w:val="24"/>
              </w:rPr>
              <w:t>台</w:t>
            </w:r>
          </w:p>
        </w:tc>
        <w:tc>
          <w:tcPr>
            <w:tcW w:w="1420" w:type="dxa"/>
            <w:vAlign w:val="top"/>
          </w:tcPr>
          <w:p>
            <w:pPr>
              <w:spacing w:before="91" w:line="176" w:lineRule="auto"/>
              <w:ind w:left="115"/>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w:t>
            </w:r>
          </w:p>
        </w:tc>
        <w:tc>
          <w:tcPr>
            <w:tcW w:w="1425" w:type="dxa"/>
            <w:vAlign w:val="top"/>
          </w:tcPr>
          <w:p>
            <w:pPr>
              <w:rPr>
                <w:rFonts w:ascii="Arial"/>
                <w:sz w:val="24"/>
                <w:szCs w:val="24"/>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769" w:type="dxa"/>
            <w:vAlign w:val="top"/>
          </w:tcPr>
          <w:p>
            <w:pPr>
              <w:spacing w:before="94" w:line="177" w:lineRule="auto"/>
              <w:ind w:left="117"/>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3</w:t>
            </w:r>
          </w:p>
        </w:tc>
        <w:tc>
          <w:tcPr>
            <w:tcW w:w="2074" w:type="dxa"/>
            <w:vAlign w:val="top"/>
          </w:tcPr>
          <w:p>
            <w:pPr>
              <w:spacing w:before="46" w:line="209" w:lineRule="auto"/>
              <w:ind w:left="120"/>
              <w:rPr>
                <w:rFonts w:hint="eastAsia" w:ascii="仿宋" w:hAnsi="仿宋" w:eastAsia="仿宋" w:cs="仿宋"/>
                <w:spacing w:val="-6"/>
                <w:sz w:val="24"/>
                <w:szCs w:val="24"/>
                <w:lang w:eastAsia="zh-CN"/>
              </w:rPr>
            </w:pPr>
            <w:r>
              <w:rPr>
                <w:rFonts w:hint="eastAsia" w:ascii="仿宋" w:hAnsi="仿宋" w:eastAsia="仿宋" w:cs="仿宋"/>
                <w:spacing w:val="-6"/>
                <w:sz w:val="24"/>
                <w:szCs w:val="24"/>
                <w:lang w:eastAsia="zh-CN"/>
              </w:rPr>
              <w:t>汽车吊</w:t>
            </w:r>
          </w:p>
        </w:tc>
        <w:tc>
          <w:tcPr>
            <w:tcW w:w="1419" w:type="dxa"/>
            <w:vAlign w:val="top"/>
          </w:tcPr>
          <w:p>
            <w:pPr>
              <w:rPr>
                <w:rFonts w:ascii="Arial"/>
                <w:sz w:val="24"/>
                <w:szCs w:val="24"/>
              </w:rPr>
            </w:pPr>
          </w:p>
        </w:tc>
        <w:tc>
          <w:tcPr>
            <w:tcW w:w="1419" w:type="dxa"/>
            <w:vAlign w:val="top"/>
          </w:tcPr>
          <w:p>
            <w:pPr>
              <w:spacing w:before="46" w:line="209" w:lineRule="auto"/>
              <w:ind w:left="149"/>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1420" w:type="dxa"/>
            <w:vAlign w:val="top"/>
          </w:tcPr>
          <w:p>
            <w:pPr>
              <w:spacing w:before="94" w:line="177" w:lineRule="auto"/>
              <w:ind w:left="115"/>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w:t>
            </w:r>
          </w:p>
        </w:tc>
        <w:tc>
          <w:tcPr>
            <w:tcW w:w="1425" w:type="dxa"/>
            <w:vAlign w:val="top"/>
          </w:tcPr>
          <w:p>
            <w:pPr>
              <w:rPr>
                <w:rFonts w:ascii="Arial"/>
                <w:sz w:val="24"/>
                <w:szCs w:val="24"/>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769" w:type="dxa"/>
            <w:vAlign w:val="top"/>
          </w:tcPr>
          <w:p>
            <w:pPr>
              <w:spacing w:before="94" w:line="177" w:lineRule="auto"/>
              <w:ind w:left="117"/>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4</w:t>
            </w:r>
          </w:p>
        </w:tc>
        <w:tc>
          <w:tcPr>
            <w:tcW w:w="2074" w:type="dxa"/>
            <w:vAlign w:val="top"/>
          </w:tcPr>
          <w:p>
            <w:pPr>
              <w:spacing w:before="46" w:line="209" w:lineRule="auto"/>
              <w:ind w:left="120"/>
              <w:rPr>
                <w:rFonts w:hint="eastAsia" w:ascii="仿宋" w:hAnsi="仿宋" w:eastAsia="仿宋" w:cs="仿宋"/>
                <w:spacing w:val="-6"/>
                <w:sz w:val="24"/>
                <w:szCs w:val="24"/>
                <w:lang w:eastAsia="zh-CN"/>
              </w:rPr>
            </w:pPr>
            <w:r>
              <w:rPr>
                <w:rFonts w:hint="eastAsia" w:ascii="仿宋" w:hAnsi="仿宋" w:eastAsia="仿宋" w:cs="仿宋"/>
                <w:spacing w:val="-6"/>
                <w:sz w:val="24"/>
                <w:szCs w:val="24"/>
                <w:lang w:eastAsia="zh-CN"/>
              </w:rPr>
              <w:t>运输车</w:t>
            </w:r>
          </w:p>
        </w:tc>
        <w:tc>
          <w:tcPr>
            <w:tcW w:w="1419" w:type="dxa"/>
            <w:vAlign w:val="top"/>
          </w:tcPr>
          <w:p>
            <w:pPr>
              <w:rPr>
                <w:rFonts w:ascii="Arial"/>
                <w:sz w:val="24"/>
                <w:szCs w:val="24"/>
              </w:rPr>
            </w:pPr>
          </w:p>
        </w:tc>
        <w:tc>
          <w:tcPr>
            <w:tcW w:w="1419" w:type="dxa"/>
            <w:vAlign w:val="top"/>
          </w:tcPr>
          <w:p>
            <w:pPr>
              <w:spacing w:before="46" w:line="209" w:lineRule="auto"/>
              <w:ind w:left="149"/>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1420" w:type="dxa"/>
            <w:vAlign w:val="top"/>
          </w:tcPr>
          <w:p>
            <w:pPr>
              <w:spacing w:before="94" w:line="177" w:lineRule="auto"/>
              <w:ind w:left="115"/>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4</w:t>
            </w:r>
          </w:p>
        </w:tc>
        <w:tc>
          <w:tcPr>
            <w:tcW w:w="1425" w:type="dxa"/>
            <w:vAlign w:val="top"/>
          </w:tcPr>
          <w:p>
            <w:pPr>
              <w:rPr>
                <w:rFonts w:ascii="Arial"/>
                <w:sz w:val="24"/>
                <w:szCs w:val="24"/>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769" w:type="dxa"/>
            <w:vAlign w:val="top"/>
          </w:tcPr>
          <w:p>
            <w:pPr>
              <w:spacing w:before="94" w:line="177" w:lineRule="auto"/>
              <w:ind w:left="117"/>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w:t>
            </w:r>
          </w:p>
        </w:tc>
        <w:tc>
          <w:tcPr>
            <w:tcW w:w="2074" w:type="dxa"/>
            <w:vAlign w:val="top"/>
          </w:tcPr>
          <w:p>
            <w:pPr>
              <w:spacing w:before="46" w:line="209" w:lineRule="auto"/>
              <w:ind w:left="120"/>
              <w:rPr>
                <w:rFonts w:ascii="仿宋" w:hAnsi="仿宋" w:eastAsia="仿宋" w:cs="仿宋"/>
                <w:sz w:val="24"/>
                <w:szCs w:val="24"/>
              </w:rPr>
            </w:pPr>
            <w:r>
              <w:rPr>
                <w:rFonts w:hint="eastAsia" w:ascii="仿宋" w:hAnsi="仿宋" w:eastAsia="仿宋" w:cs="仿宋"/>
                <w:spacing w:val="-6"/>
                <w:sz w:val="24"/>
                <w:szCs w:val="24"/>
                <w:lang w:eastAsia="zh-CN"/>
              </w:rPr>
              <w:t>砼罐</w:t>
            </w:r>
            <w:r>
              <w:rPr>
                <w:rFonts w:ascii="仿宋" w:hAnsi="仿宋" w:eastAsia="仿宋" w:cs="仿宋"/>
                <w:spacing w:val="-6"/>
                <w:sz w:val="24"/>
                <w:szCs w:val="24"/>
              </w:rPr>
              <w:t>车</w:t>
            </w:r>
          </w:p>
        </w:tc>
        <w:tc>
          <w:tcPr>
            <w:tcW w:w="1419" w:type="dxa"/>
            <w:vAlign w:val="top"/>
          </w:tcPr>
          <w:p>
            <w:pPr>
              <w:rPr>
                <w:rFonts w:ascii="Arial"/>
                <w:sz w:val="24"/>
                <w:szCs w:val="24"/>
              </w:rPr>
            </w:pPr>
          </w:p>
        </w:tc>
        <w:tc>
          <w:tcPr>
            <w:tcW w:w="1419" w:type="dxa"/>
            <w:vAlign w:val="top"/>
          </w:tcPr>
          <w:p>
            <w:pPr>
              <w:spacing w:before="46" w:line="209" w:lineRule="auto"/>
              <w:ind w:left="149"/>
              <w:rPr>
                <w:rFonts w:ascii="仿宋" w:hAnsi="仿宋" w:eastAsia="仿宋" w:cs="仿宋"/>
                <w:sz w:val="24"/>
                <w:szCs w:val="24"/>
              </w:rPr>
            </w:pPr>
            <w:r>
              <w:rPr>
                <w:rFonts w:ascii="仿宋" w:hAnsi="仿宋" w:eastAsia="仿宋" w:cs="仿宋"/>
                <w:sz w:val="24"/>
                <w:szCs w:val="24"/>
              </w:rPr>
              <w:t>台</w:t>
            </w:r>
          </w:p>
        </w:tc>
        <w:tc>
          <w:tcPr>
            <w:tcW w:w="1420" w:type="dxa"/>
            <w:vAlign w:val="top"/>
          </w:tcPr>
          <w:p>
            <w:pPr>
              <w:spacing w:before="94" w:line="177" w:lineRule="auto"/>
              <w:ind w:left="115"/>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w:t>
            </w:r>
          </w:p>
        </w:tc>
        <w:tc>
          <w:tcPr>
            <w:tcW w:w="1425" w:type="dxa"/>
            <w:vAlign w:val="top"/>
          </w:tcPr>
          <w:p>
            <w:pPr>
              <w:rPr>
                <w:rFonts w:ascii="Arial"/>
                <w:sz w:val="24"/>
                <w:szCs w:val="24"/>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769" w:type="dxa"/>
            <w:vAlign w:val="top"/>
          </w:tcPr>
          <w:p>
            <w:pPr>
              <w:spacing w:before="94" w:line="177" w:lineRule="auto"/>
              <w:ind w:left="117"/>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6</w:t>
            </w:r>
          </w:p>
        </w:tc>
        <w:tc>
          <w:tcPr>
            <w:tcW w:w="2074" w:type="dxa"/>
            <w:vAlign w:val="top"/>
          </w:tcPr>
          <w:p>
            <w:pPr>
              <w:spacing w:before="46" w:line="209" w:lineRule="auto"/>
              <w:ind w:left="120"/>
              <w:rPr>
                <w:rFonts w:hint="eastAsia" w:ascii="仿宋" w:hAnsi="仿宋" w:eastAsia="仿宋" w:cs="仿宋"/>
                <w:spacing w:val="-6"/>
                <w:sz w:val="24"/>
                <w:szCs w:val="24"/>
                <w:lang w:eastAsia="zh-CN"/>
              </w:rPr>
            </w:pPr>
            <w:r>
              <w:rPr>
                <w:rFonts w:hint="eastAsia" w:ascii="仿宋" w:hAnsi="仿宋" w:eastAsia="仿宋" w:cs="仿宋"/>
                <w:spacing w:val="-6"/>
                <w:sz w:val="24"/>
                <w:szCs w:val="24"/>
                <w:lang w:eastAsia="zh-CN"/>
              </w:rPr>
              <w:t>发电机</w:t>
            </w:r>
          </w:p>
        </w:tc>
        <w:tc>
          <w:tcPr>
            <w:tcW w:w="1419" w:type="dxa"/>
            <w:vAlign w:val="top"/>
          </w:tcPr>
          <w:p>
            <w:pPr>
              <w:rPr>
                <w:rFonts w:ascii="Arial"/>
                <w:sz w:val="24"/>
                <w:szCs w:val="24"/>
              </w:rPr>
            </w:pPr>
          </w:p>
        </w:tc>
        <w:tc>
          <w:tcPr>
            <w:tcW w:w="1419" w:type="dxa"/>
            <w:vAlign w:val="top"/>
          </w:tcPr>
          <w:p>
            <w:pPr>
              <w:spacing w:before="46" w:line="209" w:lineRule="auto"/>
              <w:ind w:left="149"/>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1420" w:type="dxa"/>
            <w:vAlign w:val="top"/>
          </w:tcPr>
          <w:p>
            <w:pPr>
              <w:spacing w:before="94" w:line="177" w:lineRule="auto"/>
              <w:ind w:left="115"/>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w:t>
            </w:r>
          </w:p>
        </w:tc>
        <w:tc>
          <w:tcPr>
            <w:tcW w:w="1425" w:type="dxa"/>
            <w:vAlign w:val="top"/>
          </w:tcPr>
          <w:p>
            <w:pPr>
              <w:rPr>
                <w:rFonts w:ascii="Arial"/>
                <w:sz w:val="24"/>
                <w:szCs w:val="24"/>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769" w:type="dxa"/>
            <w:vAlign w:val="top"/>
          </w:tcPr>
          <w:p>
            <w:pPr>
              <w:spacing w:before="94" w:line="177" w:lineRule="auto"/>
              <w:ind w:left="117"/>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7</w:t>
            </w:r>
          </w:p>
        </w:tc>
        <w:tc>
          <w:tcPr>
            <w:tcW w:w="2074" w:type="dxa"/>
            <w:vAlign w:val="top"/>
          </w:tcPr>
          <w:p>
            <w:pPr>
              <w:spacing w:before="46" w:line="209" w:lineRule="auto"/>
              <w:ind w:left="120"/>
              <w:rPr>
                <w:rFonts w:hint="eastAsia" w:ascii="仿宋" w:hAnsi="仿宋" w:eastAsia="仿宋" w:cs="仿宋"/>
                <w:spacing w:val="-6"/>
                <w:sz w:val="24"/>
                <w:szCs w:val="24"/>
                <w:lang w:eastAsia="zh-CN"/>
              </w:rPr>
            </w:pPr>
            <w:r>
              <w:rPr>
                <w:rFonts w:hint="eastAsia" w:ascii="仿宋" w:hAnsi="仿宋" w:eastAsia="仿宋" w:cs="仿宋"/>
                <w:spacing w:val="-6"/>
                <w:sz w:val="24"/>
                <w:szCs w:val="24"/>
                <w:lang w:eastAsia="zh-CN"/>
              </w:rPr>
              <w:t>空压机</w:t>
            </w:r>
          </w:p>
        </w:tc>
        <w:tc>
          <w:tcPr>
            <w:tcW w:w="1419" w:type="dxa"/>
            <w:vAlign w:val="top"/>
          </w:tcPr>
          <w:p>
            <w:pPr>
              <w:rPr>
                <w:rFonts w:ascii="Arial"/>
                <w:sz w:val="24"/>
                <w:szCs w:val="24"/>
              </w:rPr>
            </w:pPr>
          </w:p>
        </w:tc>
        <w:tc>
          <w:tcPr>
            <w:tcW w:w="1419" w:type="dxa"/>
            <w:vAlign w:val="top"/>
          </w:tcPr>
          <w:p>
            <w:pPr>
              <w:spacing w:before="46" w:line="209" w:lineRule="auto"/>
              <w:ind w:left="149"/>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1420" w:type="dxa"/>
            <w:vAlign w:val="top"/>
          </w:tcPr>
          <w:p>
            <w:pPr>
              <w:spacing w:before="94" w:line="177" w:lineRule="auto"/>
              <w:ind w:left="115"/>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w:t>
            </w:r>
          </w:p>
        </w:tc>
        <w:tc>
          <w:tcPr>
            <w:tcW w:w="1425" w:type="dxa"/>
            <w:vAlign w:val="top"/>
          </w:tcPr>
          <w:p>
            <w:pPr>
              <w:rPr>
                <w:rFonts w:ascii="Arial"/>
                <w:sz w:val="24"/>
                <w:szCs w:val="24"/>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769" w:type="dxa"/>
            <w:vAlign w:val="top"/>
          </w:tcPr>
          <w:p>
            <w:pPr>
              <w:spacing w:before="94" w:line="177" w:lineRule="auto"/>
              <w:ind w:left="117"/>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8</w:t>
            </w:r>
          </w:p>
        </w:tc>
        <w:tc>
          <w:tcPr>
            <w:tcW w:w="2074" w:type="dxa"/>
            <w:vAlign w:val="top"/>
          </w:tcPr>
          <w:p>
            <w:pPr>
              <w:spacing w:before="46" w:line="209" w:lineRule="auto"/>
              <w:ind w:left="120"/>
              <w:rPr>
                <w:rFonts w:hint="eastAsia" w:ascii="仿宋" w:hAnsi="仿宋" w:eastAsia="仿宋" w:cs="仿宋"/>
                <w:spacing w:val="-6"/>
                <w:sz w:val="24"/>
                <w:szCs w:val="24"/>
                <w:lang w:eastAsia="zh-CN"/>
              </w:rPr>
            </w:pPr>
            <w:r>
              <w:rPr>
                <w:rFonts w:hint="eastAsia" w:ascii="仿宋" w:hAnsi="仿宋" w:eastAsia="仿宋" w:cs="仿宋"/>
                <w:spacing w:val="-6"/>
                <w:sz w:val="24"/>
                <w:szCs w:val="24"/>
                <w:lang w:eastAsia="zh-CN"/>
              </w:rPr>
              <w:t>检测车</w:t>
            </w:r>
          </w:p>
        </w:tc>
        <w:tc>
          <w:tcPr>
            <w:tcW w:w="1419" w:type="dxa"/>
            <w:vAlign w:val="top"/>
          </w:tcPr>
          <w:p>
            <w:pPr>
              <w:rPr>
                <w:rFonts w:ascii="Arial"/>
                <w:sz w:val="24"/>
                <w:szCs w:val="24"/>
              </w:rPr>
            </w:pPr>
          </w:p>
        </w:tc>
        <w:tc>
          <w:tcPr>
            <w:tcW w:w="1419" w:type="dxa"/>
            <w:vAlign w:val="top"/>
          </w:tcPr>
          <w:p>
            <w:pPr>
              <w:spacing w:before="46" w:line="209" w:lineRule="auto"/>
              <w:ind w:left="149"/>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1420" w:type="dxa"/>
            <w:vAlign w:val="top"/>
          </w:tcPr>
          <w:p>
            <w:pPr>
              <w:spacing w:before="94" w:line="177" w:lineRule="auto"/>
              <w:ind w:left="115"/>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w:t>
            </w:r>
          </w:p>
        </w:tc>
        <w:tc>
          <w:tcPr>
            <w:tcW w:w="1425" w:type="dxa"/>
            <w:vAlign w:val="top"/>
          </w:tcPr>
          <w:p>
            <w:pPr>
              <w:rPr>
                <w:rFonts w:ascii="Arial"/>
                <w:sz w:val="24"/>
                <w:szCs w:val="24"/>
              </w:rPr>
            </w:pPr>
          </w:p>
        </w:tc>
      </w:tr>
    </w:tbl>
    <w:p>
      <w:pPr>
        <w:rPr>
          <w:rFonts w:hint="eastAsia"/>
          <w:lang w:val="en-US" w:eastAsia="zh-CN"/>
        </w:rPr>
      </w:pPr>
    </w:p>
    <w:p>
      <w:pPr>
        <w:pStyle w:val="9"/>
        <w:bidi w:val="0"/>
        <w:ind w:firstLine="482" w:firstLineChars="200"/>
        <w:rPr>
          <w:rFonts w:hint="eastAsia" w:asciiTheme="majorEastAsia" w:hAnsiTheme="majorEastAsia" w:eastAsiaTheme="majorEastAsia" w:cstheme="majorEastAsia"/>
          <w:lang w:val="en-US" w:eastAsia="zh-CN"/>
        </w:rPr>
      </w:pPr>
      <w:bookmarkStart w:id="427" w:name="_Toc26307"/>
      <w:bookmarkStart w:id="428" w:name="_Toc19922"/>
      <w:bookmarkStart w:id="429" w:name="_Toc24006"/>
      <w:r>
        <w:rPr>
          <w:rFonts w:hint="eastAsia" w:asciiTheme="majorEastAsia" w:hAnsiTheme="majorEastAsia" w:eastAsiaTheme="majorEastAsia" w:cstheme="majorEastAsia"/>
          <w:sz w:val="24"/>
          <w:szCs w:val="24"/>
          <w:lang w:val="en-US" w:eastAsia="zh-CN"/>
        </w:rPr>
        <w:t>3.3.4工程用款与施工用电计划</w:t>
      </w:r>
      <w:bookmarkEnd w:id="427"/>
      <w:bookmarkEnd w:id="428"/>
      <w:bookmarkEnd w:id="42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工程中标后，我公司将调集一定的专项资金，确保队伍的上场、确保工程前期资金需求量大而验工计价不足时工地的正常运转。资金绝对专款专用、对资金的使用，做到有计划、有准备、合理使用，以避免因为资金问题而影响施工进度，充分保证劳动力、施工机械的充足配备 、材料及时采购进场。随着工程各阶段关键结点的完成及时兑现各专业施工队伍的劳务费用，这样既能充分调动作业队伍的积极性，也能使各作业队为本招标工程安排作业人员尤其是春节期间的作业人员的充足配备提供了保证。 根据施工实际情况编制月进度计划报表，根据合同条款申请工程款，并将预付款、工程款合理分配于人工费、材料费等等各个方面，确保工程的顺利进行。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我公司将在业主指定的银行开户，业主可对资金的使用情况进行监控，工程款不得以任何形式外流。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工程的计价与工程进度一致，不超前和滞后计价，保证工程的每个施工阶段都有资金用于施工。正常的施工生产必须有足够的资金作为后盾。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项目部及分部及时缴纳电费确保工作生活需求，施工现场配备足够移动发电机，确保正常生产要求。</w:t>
      </w:r>
    </w:p>
    <w:p>
      <w:pPr>
        <w:pStyle w:val="9"/>
        <w:bidi w:val="0"/>
        <w:ind w:firstLine="482" w:firstLineChars="200"/>
        <w:rPr>
          <w:rFonts w:hint="eastAsia" w:asciiTheme="majorEastAsia" w:hAnsiTheme="majorEastAsia" w:eastAsiaTheme="majorEastAsia" w:cstheme="majorEastAsia"/>
          <w:sz w:val="24"/>
          <w:szCs w:val="24"/>
          <w:lang w:val="en-US" w:eastAsia="zh-CN"/>
        </w:rPr>
      </w:pPr>
      <w:bookmarkStart w:id="430" w:name="_Toc32670"/>
      <w:bookmarkStart w:id="431" w:name="_Toc11279"/>
      <w:bookmarkStart w:id="432" w:name="_Toc3596"/>
      <w:r>
        <w:rPr>
          <w:rFonts w:hint="eastAsia" w:asciiTheme="majorEastAsia" w:hAnsiTheme="majorEastAsia" w:eastAsiaTheme="majorEastAsia" w:cstheme="majorEastAsia"/>
          <w:sz w:val="24"/>
          <w:szCs w:val="24"/>
          <w:lang w:val="en-US" w:eastAsia="zh-CN"/>
        </w:rPr>
        <w:t>3.3.5施工总平面布置</w:t>
      </w:r>
      <w:bookmarkEnd w:id="430"/>
      <w:bookmarkEnd w:id="431"/>
      <w:bookmarkEnd w:id="43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项目部设置在G4京港澳高速老徐水收费站院内，张石高速公路保定段2023年沥青路面病害治理工程设计施工总承包项目部也建设在此地，合理资源，节约驻地建设成本，该处作为本专项养护</w:t>
      </w:r>
      <w:bookmarkStart w:id="2170" w:name="_GoBack"/>
      <w:bookmarkEnd w:id="2170"/>
      <w:r>
        <w:rPr>
          <w:rFonts w:hint="eastAsia" w:asciiTheme="minorEastAsia" w:hAnsiTheme="minorEastAsia" w:eastAsiaTheme="minorEastAsia" w:cstheme="minorEastAsia"/>
          <w:sz w:val="24"/>
          <w:lang w:val="en-US" w:eastAsia="zh-CN"/>
        </w:rPr>
        <w:t>项目总部，负责本专项的综合管理。办公及生活用房均为楼房，设施齐全，紧邻高速到达施工现场及业主监理办公处都很便捷，保阜高速阜平工区设置分部，人员设备等通过高速和下道两种形式到达施工现场。</w:t>
      </w:r>
    </w:p>
    <w:p>
      <w:pPr>
        <w:pStyle w:val="7"/>
        <w:bidi w:val="0"/>
        <w:ind w:firstLine="562" w:firstLineChars="200"/>
        <w:rPr>
          <w:rFonts w:hint="eastAsia" w:ascii="宋体" w:hAnsi="宋体" w:eastAsia="宋体" w:cs="宋体"/>
          <w:b/>
          <w:bCs/>
          <w:sz w:val="28"/>
          <w:szCs w:val="28"/>
        </w:rPr>
      </w:pPr>
      <w:bookmarkStart w:id="433" w:name="_Toc11057"/>
      <w:bookmarkStart w:id="434" w:name="_Toc26365"/>
      <w:bookmarkStart w:id="435" w:name="_Toc9209"/>
      <w:r>
        <w:rPr>
          <w:rFonts w:hint="eastAsia" w:ascii="宋体" w:hAnsi="宋体" w:eastAsia="宋体" w:cs="宋体"/>
          <w:sz w:val="28"/>
          <w:szCs w:val="28"/>
          <w:lang w:val="en-US" w:eastAsia="zh-CN"/>
        </w:rPr>
        <w:t>4、</w:t>
      </w:r>
      <w:r>
        <w:rPr>
          <w:rFonts w:hint="eastAsia" w:ascii="宋体" w:hAnsi="宋体" w:eastAsia="宋体" w:cs="宋体"/>
          <w:sz w:val="28"/>
          <w:szCs w:val="28"/>
        </w:rPr>
        <w:t>施工方案</w:t>
      </w:r>
      <w:bookmarkEnd w:id="433"/>
      <w:bookmarkEnd w:id="434"/>
      <w:bookmarkEnd w:id="435"/>
    </w:p>
    <w:p>
      <w:pPr>
        <w:pStyle w:val="8"/>
        <w:bidi w:val="0"/>
        <w:ind w:firstLine="482" w:firstLineChars="200"/>
        <w:rPr>
          <w:rFonts w:hint="eastAsia" w:ascii="宋体" w:hAnsi="宋体" w:eastAsia="宋体" w:cs="宋体"/>
          <w:sz w:val="24"/>
          <w:szCs w:val="24"/>
          <w:lang w:val="en-US" w:eastAsia="zh-CN"/>
        </w:rPr>
      </w:pPr>
      <w:bookmarkStart w:id="436" w:name="_Toc5887"/>
      <w:bookmarkStart w:id="437" w:name="_Toc22535"/>
      <w:bookmarkStart w:id="438" w:name="_Toc22096"/>
      <w:r>
        <w:rPr>
          <w:rFonts w:hint="eastAsia" w:ascii="宋体" w:hAnsi="宋体" w:eastAsia="宋体" w:cs="宋体"/>
          <w:sz w:val="24"/>
          <w:szCs w:val="24"/>
          <w:lang w:val="en-US" w:eastAsia="zh-CN"/>
        </w:rPr>
        <w:t>4.1现状调查</w:t>
      </w:r>
      <w:bookmarkEnd w:id="436"/>
      <w:bookmarkEnd w:id="437"/>
      <w:bookmarkEnd w:id="43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保阜高速公路穿越太行山中蔍，区内山势陡峻，在低山丘陵区山势较缓，平原区地势平坦，全线总的地势是西高东低，起伏较大。沿线穿越山区的地段路堑边坡陡峻，路堤边填方较高，在运营过程中出现路堑边坡落石和路堤边坡水毁冲刷现象，并在历年养护中对部分路堑边坡增设了主动防护网进行防护，具体情况如下。</w:t>
      </w:r>
    </w:p>
    <w:p>
      <w:pPr>
        <w:pStyle w:val="9"/>
        <w:bidi w:val="0"/>
        <w:ind w:firstLine="482" w:firstLineChars="200"/>
        <w:rPr>
          <w:rFonts w:hint="eastAsia" w:ascii="宋体" w:hAnsi="宋体" w:eastAsia="宋体" w:cs="宋体"/>
          <w:sz w:val="24"/>
          <w:szCs w:val="24"/>
          <w:lang w:val="en-US" w:eastAsia="zh-CN"/>
        </w:rPr>
      </w:pPr>
      <w:bookmarkStart w:id="439" w:name="_Toc32618"/>
      <w:bookmarkStart w:id="440" w:name="_Toc23108"/>
      <w:bookmarkStart w:id="441" w:name="_Toc23684"/>
      <w:r>
        <w:rPr>
          <w:rFonts w:hint="eastAsia" w:ascii="宋体" w:hAnsi="宋体" w:eastAsia="宋体" w:cs="宋体"/>
          <w:sz w:val="24"/>
          <w:szCs w:val="24"/>
          <w:lang w:val="en-US" w:eastAsia="zh-CN"/>
        </w:rPr>
        <w:t>4.1.1路堑边坡现状</w:t>
      </w:r>
      <w:bookmarkEnd w:id="439"/>
      <w:bookmarkEnd w:id="440"/>
      <w:bookmarkEnd w:id="44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经现场勘察山西方向K180+550~K180+652、K206+300~K206+504、 K213+956~213+70、K257+522~K257+63和保定方向K173+768~K173+848  、K184+780~K184+880 、K215+680~ K215+717路堑边坡存在落石现象，合计7处；保定方向K182+813~K182+958路堑边坡坡面岩石 风化较为严重，出现散落现象，合计1处。典型病害如下：</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（1）山西方向K180+550~K180+652段为岩质边坡，共分两级。其中，第一级边坡已设置主动防护网； 第二级边坡高度约10m，坡率为 1:0.5 ，无边坡平台。K180+600~K180+652段第二级边坡岩体较破碎，坡面存在浮石，并出现碎石掉落现象。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山西方向K206+300~K206+504段为岩质边坡， 共分三级。其中，第一、二级边坡已设置主动防护网； 第三级边坡高度为8~10m， 坡率为1:0.5，平台宽度约1m左右。K206+340~ K206+380段第三级边坡岩体裂隙较发育，且裂隙间充填泥质，易出现落石现象。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 山西方向K213+956~213+700段为岩质边坡，共分三级。其中，第一、 二级边坡高度约10m ，第三级边坡高度约为8m，坡率为1:0.5，边坡平台宽度0.5~1m 。K213+820~K213+908段第二、三级边坡坡面存在浮石，并存在碎石掉落至坡脚现象。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 山西方向K257+522~K257+639段为岩质边坡， 共分五级。其中，第一级边坡局部已设置护面墙；第二、三、四级边坡局部已设置主动防护网；第五级边坡高度约为8m，坡率为1:0.5， 边坡平台宽度约0.5m左右。K257+450~K257+490段第五级边坡坡面存在浮石，并出现碎石掉落现象。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 保定方向K173+768~K173+848段为岩质边坡，共分四级。其中，第一级边坡高度约 12m；第二级边坡高度约8m；第三级边坡高度约5m；坡率为1:0.5，平台宽度约0~1m左右。 K173+808~K173+848段第一级边坡已设置护面墙；第二、三、四级边坡已设置主动防护网。 K173+768~K173+808段第一、 二、三级边坡坡面存在浮石，并存在碎石掉落至坡脚现象。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 保定方向K182+813~K182+958段为岩质边坡， 共分三级。第 一、二级边坡高度约10m， 第二级边坡高度约5m，坡率为1:0.5，平 台宽度约1m左右。K182+813~K182+958段第一、 二、 三级边坡坡面岩体呈中~薄层状结构，中~强风化，结构面结合较差，坡面岩体较松散，并出现局部岩体崩解现象。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 保定方向K184+780~K184+880段为岩质边坡， 共分三级。其中，第一级边坡已设置 护面墙，二级边坡高度约10m ，三级边坡高度约4m高，坡率为1:0.5，平台宽度约1m左右。K184+820~K184+870段第二、三级边坡坡面孤石、浮石较多，并出现落石现象。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(8) 保定方向K215+680~K215+717段为岩质边坡，为一级边坡， 高度约15m，坡率为1:0.5。边坡位于隧道洞口处，且局部岩体较为破碎，并出现落石现象。</w:t>
      </w:r>
    </w:p>
    <w:p>
      <w:pPr>
        <w:pStyle w:val="9"/>
        <w:bidi w:val="0"/>
        <w:ind w:firstLine="482" w:firstLineChars="200"/>
        <w:rPr>
          <w:rFonts w:hint="eastAsia" w:ascii="宋体" w:hAnsi="宋体" w:eastAsia="宋体" w:cs="宋体"/>
          <w:sz w:val="24"/>
          <w:szCs w:val="24"/>
          <w:lang w:val="en-US" w:eastAsia="zh-CN"/>
        </w:rPr>
      </w:pPr>
      <w:bookmarkStart w:id="442" w:name="_Toc16370"/>
      <w:bookmarkStart w:id="443" w:name="_Toc25345"/>
      <w:bookmarkStart w:id="444" w:name="_Toc8713"/>
      <w:r>
        <w:rPr>
          <w:rFonts w:hint="eastAsia" w:ascii="宋体" w:hAnsi="宋体" w:eastAsia="宋体" w:cs="宋体"/>
          <w:sz w:val="24"/>
          <w:szCs w:val="24"/>
          <w:lang w:val="en-US" w:eastAsia="zh-CN"/>
        </w:rPr>
        <w:t>4.1.2路堤边坡现状</w:t>
      </w:r>
      <w:bookmarkEnd w:id="442"/>
      <w:bookmarkEnd w:id="443"/>
      <w:bookmarkEnd w:id="44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经现场勘察保定方向K256+850 为填方路基，共分二级。其中， 第一级边坡高度约10m ，坡率为1:1.5；第二级边坡高度约25m，坡 率为1:1.75，平台宽度约1.5m 。K256+850处路基内设置横向排水 管，排水管直径为30cm ，边坡在泄水管处设置宽30cm的泄水槽。随着运营年限的增长及雨水反复冲刷，泄水槽顶部 9m 范围内损坏、并冲刷路基，为保证路堤边坡的稳定性，亟需对损坏部位进行功能恢复。</w:t>
      </w:r>
    </w:p>
    <w:p>
      <w:pPr>
        <w:pStyle w:val="8"/>
        <w:bidi w:val="0"/>
        <w:ind w:firstLine="482" w:firstLineChars="200"/>
        <w:rPr>
          <w:rFonts w:hint="eastAsia" w:ascii="宋体" w:hAnsi="宋体" w:eastAsia="宋体" w:cs="宋体"/>
          <w:sz w:val="24"/>
          <w:szCs w:val="24"/>
          <w:lang w:val="en-US" w:eastAsia="zh-CN"/>
        </w:rPr>
      </w:pPr>
      <w:bookmarkStart w:id="445" w:name="_Toc5880"/>
      <w:bookmarkStart w:id="446" w:name="_Toc2684"/>
      <w:bookmarkStart w:id="447" w:name="_Toc23902"/>
      <w:r>
        <w:rPr>
          <w:rFonts w:hint="eastAsia" w:ascii="宋体" w:hAnsi="宋体" w:eastAsia="宋体" w:cs="宋体"/>
          <w:sz w:val="24"/>
          <w:szCs w:val="24"/>
          <w:lang w:val="en-US" w:eastAsia="zh-CN"/>
        </w:rPr>
        <w:t>4.2具体施工方案</w:t>
      </w:r>
      <w:bookmarkEnd w:id="445"/>
      <w:bookmarkEnd w:id="446"/>
      <w:bookmarkEnd w:id="447"/>
    </w:p>
    <w:p>
      <w:pPr>
        <w:pStyle w:val="9"/>
        <w:bidi w:val="0"/>
        <w:ind w:firstLine="482" w:firstLineChars="200"/>
        <w:rPr>
          <w:rFonts w:hint="eastAsia" w:ascii="宋体" w:hAnsi="宋体" w:eastAsia="宋体" w:cs="宋体"/>
          <w:sz w:val="24"/>
          <w:szCs w:val="24"/>
          <w:lang w:val="en-US" w:eastAsia="zh-CN"/>
        </w:rPr>
      </w:pPr>
      <w:bookmarkStart w:id="448" w:name="_Toc1934"/>
      <w:bookmarkStart w:id="449" w:name="_Toc10171"/>
      <w:bookmarkStart w:id="450" w:name="_Toc4216"/>
      <w:r>
        <w:rPr>
          <w:rFonts w:hint="eastAsia" w:ascii="宋体" w:hAnsi="宋体" w:eastAsia="宋体" w:cs="宋体"/>
          <w:sz w:val="24"/>
          <w:szCs w:val="24"/>
          <w:lang w:val="en-US" w:eastAsia="zh-CN"/>
        </w:rPr>
        <w:t>4.2.1路堑边坡防护</w:t>
      </w:r>
      <w:bookmarkEnd w:id="448"/>
      <w:bookmarkEnd w:id="449"/>
      <w:bookmarkEnd w:id="45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结合现场实际情况，确定路堑边坡防护总体原则：1 、对存在落石现象的路堑边坡采用主 动柔性防护网进行防护； 2、对坡面存在岩石风化、散落的路堑边坡采用锚杆喷射混凝土进行防护。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sz w:val="24"/>
          <w:lang w:val="en-US" w:eastAsia="zh-CN"/>
        </w:rPr>
      </w:pPr>
      <w:bookmarkStart w:id="451" w:name="_Toc2230"/>
      <w:bookmarkStart w:id="452" w:name="_Toc3843"/>
      <w:bookmarkStart w:id="453" w:name="_Toc12344"/>
      <w:bookmarkStart w:id="454" w:name="_Toc18494"/>
      <w:r>
        <w:rPr>
          <w:rFonts w:hint="eastAsia" w:asciiTheme="minorEastAsia" w:hAnsiTheme="minorEastAsia" w:eastAsiaTheme="minorEastAsia" w:cstheme="minorEastAsia"/>
          <w:sz w:val="24"/>
          <w:lang w:val="en-US" w:eastAsia="zh-CN"/>
        </w:rPr>
        <w:t>1 、增设主动防护网：</w:t>
      </w:r>
      <w:bookmarkEnd w:id="451"/>
      <w:bookmarkEnd w:id="452"/>
      <w:bookmarkEnd w:id="453"/>
      <w:bookmarkEnd w:id="45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对山西方向K180+600~K180+652 第二级坡面 、K206+340~K206+380 第三级坡面、 K213+820 ~ K213+908  第二 、 三级坡面 、K257+450 ~ K257+490  第五 级坡 面 ； 保定 方 向  K173+768~K173+808 第一、二、三级坡面、K184+820~K184+870 第二、 三级坡面、K215+680~ K215+717 第一级坡面存在落石区域采用主动柔性防护网进行防护。处治方案如下：</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主动柔性防护网： 清理边坡表面欠稳定浮石，以柔性钢绳网覆盖在有潜在危岩落石的坡面，其纵横交错的直径16mm 纵横向支撑绳与 4.5m×4.5m 正方形模式布置的锚杆相联结，支撑绳构 成的每个4.5m × 4.5m 网 格 内 铺 设 4m × 4m 的 DO/08/300型钢绳网和SO/2.2/50 格栅网，每张钢绳 网与四周支撑绳间用缝合绳缝合联结并进行预张拉，使系统对坡面施以一定的法向预紧压力，从而提高坡面危岩体的稳定性，阻止崩塌落石的发生。一级边坡设置防护网距碎落台高度 1m ，以便于后期养护清理防护网内落石。施工时，结合现场实际情况，防护网设置位置可适当调整。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(1)山西方向 K180+600~K180+652第二级边坡坡面存在落石区域采用主动柔性防护网进行防护。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(2)山西方向 K206+340~K206+380第三级边坡坡面存在落石区域采用主动柔性防护网进行防护。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(3)山西方向 K213+820~K213+908第二、三级边坡坡面存在落石区域采用主动柔性防护网进行防护。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 山西方向 K257+450~K257+490第五级边坡坡面存在落石区域采用主动柔性防护网进行防护。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 保定方向 K173+768~K173+808第一、 二、三级边坡坡面存在落石区域采用主动柔性防护网进行防护。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 保定方向 K184+820~K184+870 第二、三级边坡坡面存在落石区域采用主动柔性防护网进行防护。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 保定方向 K215+680~K215+717 第一级边坡坡面存在落石区域采用主动柔性防护网进行防护。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sz w:val="24"/>
          <w:lang w:val="en-US" w:eastAsia="zh-CN"/>
        </w:rPr>
      </w:pPr>
      <w:bookmarkStart w:id="455" w:name="_Toc12501"/>
      <w:bookmarkStart w:id="456" w:name="_Toc30115"/>
      <w:bookmarkStart w:id="457" w:name="_Toc13934"/>
      <w:bookmarkStart w:id="458" w:name="_Toc15948"/>
      <w:r>
        <w:rPr>
          <w:rFonts w:hint="eastAsia" w:asciiTheme="minorEastAsia" w:hAnsiTheme="minorEastAsia" w:eastAsiaTheme="minorEastAsia" w:cstheme="minorEastAsia"/>
          <w:sz w:val="24"/>
          <w:lang w:val="en-US" w:eastAsia="zh-CN"/>
        </w:rPr>
        <w:t>2、锚杆喷射混凝土防护：</w:t>
      </w:r>
      <w:bookmarkEnd w:id="455"/>
      <w:bookmarkEnd w:id="456"/>
      <w:bookmarkEnd w:id="457"/>
      <w:bookmarkEnd w:id="45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对保定方向 K182+813~K182+958 段第一、 二、三级边坡采用锚 喷混凝土进行加固。锚杆 采用 Ф25 钢筋，呈梅花型布置，间距 1.5m，锚固深度3m，锚杆孔深比锚固深度深 20cm。锚孔 插入钢筋后即压力灌注水泥砂浆。钢筋网采用φ6 钢筋，网孔间距为 15cm ，喷射混凝土厚度为12cm 。混凝土坡面沿山体高每 3m 设 Φ50 的 PVC管预留泄水孔，间距 3m。</w:t>
      </w:r>
    </w:p>
    <w:p>
      <w:pPr>
        <w:pStyle w:val="9"/>
        <w:bidi w:val="0"/>
        <w:ind w:firstLine="482" w:firstLineChars="200"/>
        <w:rPr>
          <w:rFonts w:hint="eastAsia" w:ascii="宋体" w:hAnsi="宋体" w:eastAsia="宋体" w:cs="宋体"/>
          <w:b/>
          <w:bCs/>
          <w:sz w:val="24"/>
          <w:szCs w:val="24"/>
          <w:lang w:val="en-US" w:eastAsia="zh-CN"/>
        </w:rPr>
      </w:pPr>
      <w:bookmarkStart w:id="459" w:name="_Toc6777"/>
      <w:bookmarkStart w:id="460" w:name="_Toc14240"/>
      <w:bookmarkStart w:id="461" w:name="_Toc27252"/>
      <w:r>
        <w:rPr>
          <w:rFonts w:hint="eastAsia" w:ascii="宋体" w:hAnsi="宋体" w:eastAsia="宋体" w:cs="宋体"/>
          <w:sz w:val="24"/>
          <w:szCs w:val="24"/>
          <w:lang w:val="en-US" w:eastAsia="zh-CN"/>
        </w:rPr>
        <w:t>4.2.2路堤边坡水毁修复</w:t>
      </w:r>
      <w:bookmarkEnd w:id="459"/>
      <w:bookmarkEnd w:id="460"/>
      <w:bookmarkEnd w:id="46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拆除保定方向 K256+850 冲刷损坏的泄水槽，为便于日常养护中边坡巡查，设置踏步泄水槽。踏步泄水槽采用C30 现浇混凝土，泄水槽宽 1.2m。</w:t>
      </w:r>
    </w:p>
    <w:p>
      <w:pPr>
        <w:pStyle w:val="8"/>
        <w:bidi w:val="0"/>
        <w:ind w:firstLine="482" w:firstLineChars="200"/>
        <w:rPr>
          <w:rFonts w:hint="eastAsia" w:ascii="宋体" w:hAnsi="宋体" w:eastAsia="宋体" w:cs="宋体"/>
          <w:sz w:val="24"/>
          <w:szCs w:val="24"/>
          <w:lang w:val="en-US" w:eastAsia="zh-CN"/>
        </w:rPr>
      </w:pPr>
      <w:bookmarkStart w:id="462" w:name="_Toc4136"/>
      <w:bookmarkStart w:id="463" w:name="_Toc24565"/>
      <w:bookmarkStart w:id="464" w:name="_Toc21825"/>
      <w:r>
        <w:rPr>
          <w:rFonts w:hint="eastAsia" w:ascii="宋体" w:hAnsi="宋体" w:eastAsia="宋体" w:cs="宋体"/>
          <w:sz w:val="24"/>
          <w:szCs w:val="24"/>
          <w:lang w:val="en-US" w:eastAsia="zh-CN"/>
        </w:rPr>
        <w:t>4.3施工方法及技术措施要求</w:t>
      </w:r>
      <w:bookmarkEnd w:id="462"/>
      <w:bookmarkEnd w:id="463"/>
      <w:bookmarkEnd w:id="464"/>
    </w:p>
    <w:p>
      <w:pPr>
        <w:pStyle w:val="9"/>
        <w:bidi w:val="0"/>
        <w:ind w:firstLine="482" w:firstLineChars="200"/>
        <w:rPr>
          <w:rFonts w:hint="eastAsia" w:ascii="宋体" w:hAnsi="宋体" w:eastAsia="宋体" w:cs="宋体"/>
          <w:sz w:val="24"/>
          <w:szCs w:val="24"/>
          <w:lang w:val="en-US" w:eastAsia="zh-CN"/>
        </w:rPr>
      </w:pPr>
      <w:bookmarkStart w:id="465" w:name="_Toc12076"/>
      <w:bookmarkStart w:id="466" w:name="_Toc16967"/>
      <w:bookmarkStart w:id="467" w:name="_Toc30759"/>
      <w:r>
        <w:rPr>
          <w:rFonts w:hint="eastAsia" w:ascii="宋体" w:hAnsi="宋体" w:eastAsia="宋体" w:cs="宋体"/>
          <w:sz w:val="24"/>
          <w:szCs w:val="24"/>
          <w:lang w:val="en-US" w:eastAsia="zh-CN"/>
        </w:rPr>
        <w:t>4.3.1主要材料技术要求</w:t>
      </w:r>
      <w:bookmarkEnd w:id="465"/>
      <w:bookmarkEnd w:id="466"/>
      <w:bookmarkEnd w:id="46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sz w:val="24"/>
          <w:lang w:val="en-US" w:eastAsia="zh-CN"/>
        </w:rPr>
      </w:pPr>
      <w:bookmarkStart w:id="468" w:name="_Toc5395"/>
      <w:bookmarkStart w:id="469" w:name="_Toc9962"/>
      <w:bookmarkStart w:id="470" w:name="_Toc28146"/>
      <w:bookmarkStart w:id="471" w:name="_Toc1443"/>
      <w:r>
        <w:rPr>
          <w:rFonts w:hint="eastAsia" w:asciiTheme="minorEastAsia" w:hAnsiTheme="minorEastAsia" w:eastAsiaTheme="minorEastAsia" w:cstheme="minorEastAsia"/>
          <w:sz w:val="24"/>
          <w:lang w:val="en-US" w:eastAsia="zh-CN"/>
        </w:rPr>
        <w:t>1、主动柔性防护网</w:t>
      </w:r>
      <w:bookmarkEnd w:id="468"/>
      <w:bookmarkEnd w:id="469"/>
      <w:bookmarkEnd w:id="470"/>
      <w:bookmarkEnd w:id="47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 主动柔性网材料应符合《边坡柔性防护网系统》 (JT/T 1328-2020) 相关要求。型号：APS-050  (标称抗力等级 50kN；柔性金属网抗顶破力≥50kN)主要结构配置：钢丝绳网、锚杆、支撑绳、缝合绳、钢丝格栅网。</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①CN/08/300/4×4 钢丝绳网(钢丝绳公称直径 8mm ，网孔公称尺寸300mm×300mm ，网片 公称尺寸 4m×4m)；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②G/L/2.2/50/4×4 低强度钢丝格栅 (钢丝公称直径 2.2mm ，网孔内切圆公称直径 50mm ，网 片公称尺寸 4m×4m)；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③支撑绳：Φ16 支撑绳 (钢丝抗拉强度为 1770Mpa ，钢丝绳锚杆破断拉力&gt;180kN)：</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④锚杆：Φ16 钢绳锚杆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⑤缝合绳：Φ8</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备注：双层网(钢丝绳网＋钢丝格栅)，锚杆长度 3m 、5m。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主动柔性防护网系统中钢铁制件的防腐性能应满足 GB/T13912 的要求，且满足表 7- 1的要求。</w:t>
      </w:r>
    </w:p>
    <w:p>
      <w:pPr>
        <w:spacing w:line="24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防腐性能要求                               表 7- 1</w:t>
      </w:r>
    </w:p>
    <w:p>
      <w:pPr>
        <w:spacing w:line="87" w:lineRule="exact"/>
      </w:pPr>
    </w:p>
    <w:tbl>
      <w:tblPr>
        <w:tblStyle w:val="23"/>
        <w:tblW w:w="8455" w:type="dxa"/>
        <w:tblInd w:w="1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59"/>
        <w:gridCol w:w="2255"/>
        <w:gridCol w:w="2308"/>
        <w:gridCol w:w="243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39" w:hRule="atLeast"/>
        </w:trPr>
        <w:tc>
          <w:tcPr>
            <w:tcW w:w="1459" w:type="dxa"/>
            <w:tcBorders>
              <w:left w:val="single" w:color="000000" w:sz="8" w:space="0"/>
            </w:tcBorders>
            <w:vAlign w:val="top"/>
          </w:tcPr>
          <w:p>
            <w:pPr>
              <w:spacing w:before="27" w:line="232" w:lineRule="auto"/>
              <w:ind w:left="17"/>
              <w:rPr>
                <w:rFonts w:ascii="仿宋" w:hAnsi="仿宋" w:eastAsia="仿宋" w:cs="仿宋"/>
                <w:sz w:val="20"/>
                <w:szCs w:val="20"/>
              </w:rPr>
            </w:pPr>
            <w:r>
              <w:rPr>
                <w:rFonts w:ascii="仿宋" w:hAnsi="仿宋" w:eastAsia="仿宋" w:cs="仿宋"/>
                <w:spacing w:val="5"/>
                <w:sz w:val="20"/>
                <w:szCs w:val="20"/>
              </w:rPr>
              <w:t>金属镀层</w:t>
            </w:r>
          </w:p>
        </w:tc>
        <w:tc>
          <w:tcPr>
            <w:tcW w:w="2255" w:type="dxa"/>
            <w:vAlign w:val="top"/>
          </w:tcPr>
          <w:p>
            <w:pPr>
              <w:spacing w:before="28" w:line="211" w:lineRule="auto"/>
              <w:ind w:left="1205" w:right="11" w:hanging="2"/>
              <w:rPr>
                <w:rFonts w:ascii="仿宋" w:hAnsi="仿宋" w:eastAsia="仿宋" w:cs="仿宋"/>
                <w:sz w:val="20"/>
                <w:szCs w:val="20"/>
              </w:rPr>
            </w:pPr>
            <w:r>
              <w:rPr>
                <w:rFonts w:ascii="仿宋" w:hAnsi="仿宋" w:eastAsia="仿宋" w:cs="仿宋"/>
                <w:spacing w:val="7"/>
                <w:sz w:val="20"/>
                <w:szCs w:val="20"/>
              </w:rPr>
              <w:t>金属镀层等</w:t>
            </w:r>
            <w:r>
              <w:rPr>
                <w:rFonts w:ascii="仿宋" w:hAnsi="仿宋" w:eastAsia="仿宋" w:cs="仿宋"/>
                <w:sz w:val="20"/>
                <w:szCs w:val="20"/>
              </w:rPr>
              <w:t xml:space="preserve"> 级</w:t>
            </w:r>
          </w:p>
        </w:tc>
        <w:tc>
          <w:tcPr>
            <w:tcW w:w="2308" w:type="dxa"/>
            <w:vAlign w:val="top"/>
          </w:tcPr>
          <w:p>
            <w:pPr>
              <w:spacing w:before="27" w:line="205" w:lineRule="auto"/>
              <w:ind w:left="1209" w:right="58"/>
              <w:jc w:val="both"/>
              <w:rPr>
                <w:rFonts w:ascii="仿宋" w:hAnsi="仿宋" w:eastAsia="仿宋" w:cs="仿宋"/>
                <w:sz w:val="20"/>
                <w:szCs w:val="20"/>
              </w:rPr>
            </w:pPr>
            <w:r>
              <w:rPr>
                <w:rFonts w:ascii="仿宋" w:hAnsi="仿宋" w:eastAsia="仿宋" w:cs="仿宋"/>
                <w:spacing w:val="6"/>
                <w:sz w:val="20"/>
                <w:szCs w:val="20"/>
              </w:rPr>
              <w:t>样品在中性</w:t>
            </w:r>
            <w:r>
              <w:rPr>
                <w:rFonts w:ascii="仿宋" w:hAnsi="仿宋" w:eastAsia="仿宋" w:cs="仿宋"/>
                <w:spacing w:val="3"/>
                <w:sz w:val="20"/>
                <w:szCs w:val="20"/>
              </w:rPr>
              <w:t xml:space="preserve"> </w:t>
            </w:r>
            <w:r>
              <w:rPr>
                <w:rFonts w:ascii="仿宋" w:hAnsi="仿宋" w:eastAsia="仿宋" w:cs="仿宋"/>
                <w:spacing w:val="7"/>
                <w:sz w:val="20"/>
                <w:szCs w:val="20"/>
              </w:rPr>
              <w:t>盐雾测试环</w:t>
            </w:r>
            <w:r>
              <w:rPr>
                <w:rFonts w:ascii="仿宋" w:hAnsi="仿宋" w:eastAsia="仿宋" w:cs="仿宋"/>
                <w:sz w:val="20"/>
                <w:szCs w:val="20"/>
              </w:rPr>
              <w:t xml:space="preserve"> 境</w:t>
            </w:r>
          </w:p>
          <w:p>
            <w:pPr>
              <w:spacing w:before="6" w:line="195" w:lineRule="auto"/>
              <w:ind w:left="1236"/>
              <w:rPr>
                <w:rFonts w:ascii="仿宋" w:hAnsi="仿宋" w:eastAsia="仿宋" w:cs="仿宋"/>
                <w:sz w:val="20"/>
                <w:szCs w:val="20"/>
              </w:rPr>
            </w:pPr>
            <w:r>
              <w:rPr>
                <w:rFonts w:ascii="仿宋" w:hAnsi="仿宋" w:eastAsia="仿宋" w:cs="仿宋"/>
                <w:spacing w:val="1"/>
                <w:sz w:val="20"/>
                <w:szCs w:val="20"/>
              </w:rPr>
              <w:t>中暴露时间</w:t>
            </w:r>
          </w:p>
          <w:p>
            <w:pPr>
              <w:spacing w:line="200" w:lineRule="auto"/>
              <w:ind w:left="1239"/>
              <w:rPr>
                <w:rFonts w:ascii="仿宋" w:hAnsi="仿宋" w:eastAsia="仿宋" w:cs="仿宋"/>
                <w:sz w:val="20"/>
                <w:szCs w:val="20"/>
              </w:rPr>
            </w:pPr>
            <w:r>
              <w:rPr>
                <w:rFonts w:ascii="仿宋" w:hAnsi="仿宋" w:eastAsia="仿宋" w:cs="仿宋"/>
                <w:spacing w:val="-10"/>
                <w:sz w:val="20"/>
                <w:szCs w:val="20"/>
              </w:rPr>
              <w:t>(h)</w:t>
            </w:r>
          </w:p>
        </w:tc>
        <w:tc>
          <w:tcPr>
            <w:tcW w:w="2433" w:type="dxa"/>
            <w:tcBorders>
              <w:right w:val="single" w:color="000000" w:sz="8" w:space="0"/>
            </w:tcBorders>
            <w:vAlign w:val="top"/>
          </w:tcPr>
          <w:p>
            <w:pPr>
              <w:spacing w:before="27" w:line="193" w:lineRule="auto"/>
              <w:ind w:left="1215" w:right="170"/>
              <w:rPr>
                <w:rFonts w:ascii="仿宋" w:hAnsi="仿宋" w:eastAsia="仿宋" w:cs="仿宋"/>
                <w:sz w:val="20"/>
                <w:szCs w:val="20"/>
              </w:rPr>
            </w:pPr>
            <w:r>
              <w:rPr>
                <w:rFonts w:ascii="仿宋" w:hAnsi="仿宋" w:eastAsia="仿宋" w:cs="仿宋"/>
                <w:spacing w:val="6"/>
                <w:sz w:val="20"/>
                <w:szCs w:val="20"/>
              </w:rPr>
              <w:t>表面出现的</w:t>
            </w:r>
            <w:r>
              <w:rPr>
                <w:rFonts w:ascii="仿宋" w:hAnsi="仿宋" w:eastAsia="仿宋" w:cs="仿宋"/>
                <w:spacing w:val="2"/>
                <w:sz w:val="20"/>
                <w:szCs w:val="20"/>
              </w:rPr>
              <w:t xml:space="preserve"> </w:t>
            </w:r>
            <w:r>
              <w:rPr>
                <w:rFonts w:ascii="仿宋" w:hAnsi="仿宋" w:eastAsia="仿宋" w:cs="仿宋"/>
                <w:spacing w:val="6"/>
                <w:sz w:val="20"/>
                <w:szCs w:val="20"/>
              </w:rPr>
              <w:t>红锈面积百</w:t>
            </w:r>
          </w:p>
          <w:p>
            <w:pPr>
              <w:spacing w:before="1" w:line="229" w:lineRule="auto"/>
              <w:ind w:left="1217"/>
              <w:rPr>
                <w:rFonts w:ascii="仿宋" w:hAnsi="仿宋" w:eastAsia="仿宋" w:cs="仿宋"/>
                <w:sz w:val="20"/>
                <w:szCs w:val="20"/>
              </w:rPr>
            </w:pPr>
            <w:r>
              <w:rPr>
                <w:rFonts w:ascii="仿宋" w:hAnsi="仿宋" w:eastAsia="仿宋" w:cs="仿宋"/>
                <w:sz w:val="20"/>
                <w:szCs w:val="20"/>
              </w:rPr>
              <w:t>分</w:t>
            </w:r>
          </w:p>
          <w:p>
            <w:pPr>
              <w:spacing w:before="5" w:line="232" w:lineRule="auto"/>
              <w:ind w:left="1238"/>
              <w:rPr>
                <w:rFonts w:ascii="仿宋" w:hAnsi="仿宋" w:eastAsia="仿宋" w:cs="仿宋"/>
                <w:sz w:val="20"/>
                <w:szCs w:val="20"/>
              </w:rPr>
            </w:pPr>
            <w:r>
              <w:rPr>
                <w:rFonts w:ascii="仿宋" w:hAnsi="仿宋" w:eastAsia="仿宋" w:cs="仿宋"/>
                <w:spacing w:val="-3"/>
                <w:sz w:val="20"/>
                <w:szCs w:val="20"/>
              </w:rPr>
              <w:t>比(%)</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1459" w:type="dxa"/>
            <w:vMerge w:val="restart"/>
            <w:tcBorders>
              <w:left w:val="single" w:color="000000" w:sz="8" w:space="0"/>
              <w:bottom w:val="nil"/>
            </w:tcBorders>
            <w:vAlign w:val="top"/>
          </w:tcPr>
          <w:p>
            <w:pPr>
              <w:spacing w:line="252" w:lineRule="auto"/>
              <w:rPr>
                <w:rFonts w:ascii="Arial"/>
                <w:sz w:val="21"/>
              </w:rPr>
            </w:pPr>
          </w:p>
          <w:p>
            <w:pPr>
              <w:spacing w:before="65" w:line="184" w:lineRule="auto"/>
              <w:ind w:left="9"/>
              <w:rPr>
                <w:rFonts w:ascii="仿宋" w:hAnsi="仿宋" w:eastAsia="仿宋" w:cs="仿宋"/>
                <w:sz w:val="20"/>
                <w:szCs w:val="20"/>
              </w:rPr>
            </w:pPr>
            <w:r>
              <w:rPr>
                <w:rFonts w:ascii="仿宋" w:hAnsi="仿宋" w:eastAsia="仿宋" w:cs="仿宋"/>
                <w:spacing w:val="1"/>
                <w:sz w:val="20"/>
                <w:szCs w:val="20"/>
              </w:rPr>
              <w:t>Zn</w:t>
            </w:r>
          </w:p>
        </w:tc>
        <w:tc>
          <w:tcPr>
            <w:tcW w:w="2255" w:type="dxa"/>
            <w:vAlign w:val="top"/>
          </w:tcPr>
          <w:p>
            <w:pPr>
              <w:spacing w:before="64" w:line="184" w:lineRule="auto"/>
              <w:ind w:left="1192"/>
              <w:rPr>
                <w:rFonts w:ascii="仿宋" w:hAnsi="仿宋" w:eastAsia="仿宋" w:cs="仿宋"/>
                <w:sz w:val="20"/>
                <w:szCs w:val="20"/>
              </w:rPr>
            </w:pPr>
            <w:r>
              <w:rPr>
                <w:rFonts w:ascii="仿宋" w:hAnsi="仿宋" w:eastAsia="仿宋" w:cs="仿宋"/>
                <w:spacing w:val="1"/>
                <w:sz w:val="20"/>
                <w:szCs w:val="20"/>
              </w:rPr>
              <w:t>B</w:t>
            </w:r>
          </w:p>
        </w:tc>
        <w:tc>
          <w:tcPr>
            <w:tcW w:w="2308" w:type="dxa"/>
            <w:vAlign w:val="top"/>
          </w:tcPr>
          <w:p>
            <w:pPr>
              <w:spacing w:before="62" w:line="186" w:lineRule="auto"/>
              <w:ind w:left="1205"/>
              <w:rPr>
                <w:rFonts w:ascii="仿宋" w:hAnsi="仿宋" w:eastAsia="仿宋" w:cs="仿宋"/>
                <w:sz w:val="20"/>
                <w:szCs w:val="20"/>
              </w:rPr>
            </w:pPr>
            <w:r>
              <w:rPr>
                <w:rFonts w:ascii="仿宋" w:hAnsi="仿宋" w:eastAsia="仿宋" w:cs="仿宋"/>
                <w:spacing w:val="1"/>
                <w:sz w:val="20"/>
                <w:szCs w:val="20"/>
              </w:rPr>
              <w:t>200</w:t>
            </w:r>
          </w:p>
        </w:tc>
        <w:tc>
          <w:tcPr>
            <w:tcW w:w="2433" w:type="dxa"/>
            <w:tcBorders>
              <w:right w:val="single" w:color="000000" w:sz="8" w:space="0"/>
            </w:tcBorders>
            <w:vAlign w:val="top"/>
          </w:tcPr>
          <w:p>
            <w:pPr>
              <w:spacing w:before="26" w:line="270" w:lineRule="exact"/>
              <w:ind w:left="1223"/>
              <w:rPr>
                <w:rFonts w:ascii="仿宋" w:hAnsi="仿宋" w:eastAsia="仿宋" w:cs="仿宋"/>
                <w:sz w:val="20"/>
                <w:szCs w:val="20"/>
              </w:rPr>
            </w:pPr>
            <w:r>
              <w:rPr>
                <w:rFonts w:ascii="仿宋" w:hAnsi="仿宋" w:eastAsia="仿宋" w:cs="仿宋"/>
                <w:spacing w:val="-4"/>
                <w:position w:val="1"/>
                <w:sz w:val="20"/>
                <w:szCs w:val="20"/>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459" w:type="dxa"/>
            <w:vMerge w:val="continue"/>
            <w:tcBorders>
              <w:top w:val="nil"/>
              <w:left w:val="single" w:color="000000" w:sz="8" w:space="0"/>
              <w:bottom w:val="nil"/>
            </w:tcBorders>
            <w:vAlign w:val="top"/>
          </w:tcPr>
          <w:p>
            <w:pPr>
              <w:rPr>
                <w:rFonts w:ascii="Arial"/>
                <w:sz w:val="21"/>
              </w:rPr>
            </w:pPr>
          </w:p>
        </w:tc>
        <w:tc>
          <w:tcPr>
            <w:tcW w:w="2255" w:type="dxa"/>
            <w:vAlign w:val="top"/>
          </w:tcPr>
          <w:p>
            <w:pPr>
              <w:spacing w:before="60" w:line="188" w:lineRule="auto"/>
              <w:ind w:left="1190"/>
              <w:rPr>
                <w:rFonts w:ascii="仿宋" w:hAnsi="仿宋" w:eastAsia="仿宋" w:cs="仿宋"/>
                <w:sz w:val="20"/>
                <w:szCs w:val="20"/>
              </w:rPr>
            </w:pPr>
            <w:r>
              <w:rPr>
                <w:rFonts w:ascii="仿宋" w:hAnsi="仿宋" w:eastAsia="仿宋" w:cs="仿宋"/>
                <w:spacing w:val="4"/>
                <w:sz w:val="20"/>
                <w:szCs w:val="20"/>
              </w:rPr>
              <w:t>AB</w:t>
            </w:r>
          </w:p>
        </w:tc>
        <w:tc>
          <w:tcPr>
            <w:tcW w:w="2308" w:type="dxa"/>
            <w:vAlign w:val="top"/>
          </w:tcPr>
          <w:p>
            <w:pPr>
              <w:spacing w:before="62" w:line="186" w:lineRule="auto"/>
              <w:ind w:left="1206"/>
              <w:rPr>
                <w:rFonts w:ascii="仿宋" w:hAnsi="仿宋" w:eastAsia="仿宋" w:cs="仿宋"/>
                <w:sz w:val="20"/>
                <w:szCs w:val="20"/>
              </w:rPr>
            </w:pPr>
            <w:r>
              <w:rPr>
                <w:rFonts w:ascii="仿宋" w:hAnsi="仿宋" w:eastAsia="仿宋" w:cs="仿宋"/>
                <w:spacing w:val="1"/>
                <w:sz w:val="20"/>
                <w:szCs w:val="20"/>
              </w:rPr>
              <w:t>350</w:t>
            </w:r>
          </w:p>
        </w:tc>
        <w:tc>
          <w:tcPr>
            <w:tcW w:w="2433" w:type="dxa"/>
            <w:tcBorders>
              <w:right w:val="single" w:color="000000" w:sz="8" w:space="0"/>
            </w:tcBorders>
            <w:vAlign w:val="top"/>
          </w:tcPr>
          <w:p>
            <w:pPr>
              <w:spacing w:before="26" w:line="270" w:lineRule="exact"/>
              <w:ind w:left="1223"/>
              <w:rPr>
                <w:rFonts w:ascii="仿宋" w:hAnsi="仿宋" w:eastAsia="仿宋" w:cs="仿宋"/>
                <w:sz w:val="20"/>
                <w:szCs w:val="20"/>
              </w:rPr>
            </w:pPr>
            <w:r>
              <w:rPr>
                <w:rFonts w:ascii="仿宋" w:hAnsi="仿宋" w:eastAsia="仿宋" w:cs="仿宋"/>
                <w:spacing w:val="-4"/>
                <w:position w:val="1"/>
                <w:sz w:val="20"/>
                <w:szCs w:val="20"/>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459" w:type="dxa"/>
            <w:vMerge w:val="continue"/>
            <w:tcBorders>
              <w:top w:val="nil"/>
              <w:left w:val="single" w:color="000000" w:sz="8" w:space="0"/>
            </w:tcBorders>
            <w:vAlign w:val="top"/>
          </w:tcPr>
          <w:p>
            <w:pPr>
              <w:rPr>
                <w:rFonts w:ascii="Arial"/>
                <w:sz w:val="21"/>
              </w:rPr>
            </w:pPr>
          </w:p>
        </w:tc>
        <w:tc>
          <w:tcPr>
            <w:tcW w:w="2255" w:type="dxa"/>
            <w:vAlign w:val="top"/>
          </w:tcPr>
          <w:p>
            <w:pPr>
              <w:spacing w:before="61" w:line="188" w:lineRule="auto"/>
              <w:ind w:left="1190"/>
              <w:rPr>
                <w:rFonts w:ascii="仿宋" w:hAnsi="仿宋" w:eastAsia="仿宋" w:cs="仿宋"/>
                <w:sz w:val="20"/>
                <w:szCs w:val="20"/>
              </w:rPr>
            </w:pPr>
            <w:r>
              <w:rPr>
                <w:rFonts w:ascii="仿宋" w:hAnsi="仿宋" w:eastAsia="仿宋" w:cs="仿宋"/>
                <w:spacing w:val="3"/>
                <w:sz w:val="20"/>
                <w:szCs w:val="20"/>
              </w:rPr>
              <w:t>A</w:t>
            </w:r>
          </w:p>
        </w:tc>
        <w:tc>
          <w:tcPr>
            <w:tcW w:w="2308" w:type="dxa"/>
            <w:vAlign w:val="top"/>
          </w:tcPr>
          <w:p>
            <w:pPr>
              <w:spacing w:before="63" w:line="186" w:lineRule="auto"/>
              <w:ind w:left="1206"/>
              <w:rPr>
                <w:rFonts w:ascii="仿宋" w:hAnsi="仿宋" w:eastAsia="仿宋" w:cs="仿宋"/>
                <w:sz w:val="20"/>
                <w:szCs w:val="20"/>
              </w:rPr>
            </w:pPr>
            <w:r>
              <w:rPr>
                <w:rFonts w:ascii="仿宋" w:hAnsi="仿宋" w:eastAsia="仿宋" w:cs="仿宋"/>
                <w:spacing w:val="1"/>
                <w:sz w:val="20"/>
                <w:szCs w:val="20"/>
              </w:rPr>
              <w:t>500</w:t>
            </w:r>
          </w:p>
        </w:tc>
        <w:tc>
          <w:tcPr>
            <w:tcW w:w="2433" w:type="dxa"/>
            <w:tcBorders>
              <w:right w:val="single" w:color="000000" w:sz="8" w:space="0"/>
            </w:tcBorders>
            <w:vAlign w:val="top"/>
          </w:tcPr>
          <w:p>
            <w:pPr>
              <w:spacing w:before="27" w:line="269" w:lineRule="exact"/>
              <w:ind w:left="1223"/>
              <w:rPr>
                <w:rFonts w:ascii="仿宋" w:hAnsi="仿宋" w:eastAsia="仿宋" w:cs="仿宋"/>
                <w:sz w:val="20"/>
                <w:szCs w:val="20"/>
              </w:rPr>
            </w:pPr>
            <w:r>
              <w:rPr>
                <w:rFonts w:ascii="仿宋" w:hAnsi="仿宋" w:eastAsia="仿宋" w:cs="仿宋"/>
                <w:spacing w:val="-4"/>
                <w:position w:val="1"/>
                <w:sz w:val="20"/>
                <w:szCs w:val="20"/>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459" w:type="dxa"/>
            <w:vMerge w:val="restart"/>
            <w:tcBorders>
              <w:left w:val="single" w:color="000000" w:sz="8" w:space="0"/>
              <w:bottom w:val="nil"/>
            </w:tcBorders>
            <w:vAlign w:val="top"/>
          </w:tcPr>
          <w:p>
            <w:pPr>
              <w:spacing w:before="283" w:line="270" w:lineRule="exact"/>
              <w:ind w:left="9"/>
              <w:rPr>
                <w:rFonts w:ascii="仿宋" w:hAnsi="仿宋" w:eastAsia="仿宋" w:cs="仿宋"/>
                <w:sz w:val="20"/>
                <w:szCs w:val="20"/>
              </w:rPr>
            </w:pPr>
            <w:r>
              <w:rPr>
                <w:rFonts w:ascii="仿宋" w:hAnsi="仿宋" w:eastAsia="仿宋" w:cs="仿宋"/>
                <w:position w:val="1"/>
                <w:sz w:val="20"/>
                <w:szCs w:val="20"/>
              </w:rPr>
              <w:t>Zn</w:t>
            </w:r>
            <w:r>
              <w:rPr>
                <w:rFonts w:ascii="仿宋" w:hAnsi="仿宋" w:eastAsia="仿宋" w:cs="仿宋"/>
                <w:spacing w:val="9"/>
                <w:position w:val="1"/>
                <w:sz w:val="20"/>
                <w:szCs w:val="20"/>
              </w:rPr>
              <w:t>-5%</w:t>
            </w:r>
            <w:r>
              <w:rPr>
                <w:rFonts w:ascii="仿宋" w:hAnsi="仿宋" w:eastAsia="仿宋" w:cs="仿宋"/>
                <w:position w:val="1"/>
                <w:sz w:val="20"/>
                <w:szCs w:val="20"/>
              </w:rPr>
              <w:t>Al</w:t>
            </w:r>
          </w:p>
        </w:tc>
        <w:tc>
          <w:tcPr>
            <w:tcW w:w="2255" w:type="dxa"/>
            <w:vAlign w:val="top"/>
          </w:tcPr>
          <w:p>
            <w:pPr>
              <w:spacing w:before="64" w:line="184" w:lineRule="auto"/>
              <w:ind w:left="1192"/>
              <w:rPr>
                <w:rFonts w:ascii="仿宋" w:hAnsi="仿宋" w:eastAsia="仿宋" w:cs="仿宋"/>
                <w:sz w:val="20"/>
                <w:szCs w:val="20"/>
              </w:rPr>
            </w:pPr>
            <w:r>
              <w:rPr>
                <w:rFonts w:ascii="仿宋" w:hAnsi="仿宋" w:eastAsia="仿宋" w:cs="仿宋"/>
                <w:spacing w:val="1"/>
                <w:sz w:val="20"/>
                <w:szCs w:val="20"/>
              </w:rPr>
              <w:t>B</w:t>
            </w:r>
          </w:p>
        </w:tc>
        <w:tc>
          <w:tcPr>
            <w:tcW w:w="2308" w:type="dxa"/>
            <w:vAlign w:val="top"/>
          </w:tcPr>
          <w:p>
            <w:pPr>
              <w:spacing w:before="62" w:line="186" w:lineRule="auto"/>
              <w:ind w:left="1206"/>
              <w:rPr>
                <w:rFonts w:ascii="仿宋" w:hAnsi="仿宋" w:eastAsia="仿宋" w:cs="仿宋"/>
                <w:sz w:val="20"/>
                <w:szCs w:val="20"/>
              </w:rPr>
            </w:pPr>
            <w:r>
              <w:rPr>
                <w:rFonts w:ascii="仿宋" w:hAnsi="仿宋" w:eastAsia="仿宋" w:cs="仿宋"/>
                <w:spacing w:val="1"/>
                <w:sz w:val="20"/>
                <w:szCs w:val="20"/>
              </w:rPr>
              <w:t>500</w:t>
            </w:r>
          </w:p>
        </w:tc>
        <w:tc>
          <w:tcPr>
            <w:tcW w:w="2433" w:type="dxa"/>
            <w:tcBorders>
              <w:right w:val="single" w:color="000000" w:sz="8" w:space="0"/>
            </w:tcBorders>
            <w:vAlign w:val="top"/>
          </w:tcPr>
          <w:p>
            <w:pPr>
              <w:spacing w:before="26" w:line="270" w:lineRule="exact"/>
              <w:ind w:left="1223"/>
              <w:rPr>
                <w:rFonts w:ascii="仿宋" w:hAnsi="仿宋" w:eastAsia="仿宋" w:cs="仿宋"/>
                <w:sz w:val="20"/>
                <w:szCs w:val="20"/>
              </w:rPr>
            </w:pPr>
            <w:r>
              <w:rPr>
                <w:rFonts w:ascii="仿宋" w:hAnsi="仿宋" w:eastAsia="仿宋" w:cs="仿宋"/>
                <w:spacing w:val="-4"/>
                <w:position w:val="1"/>
                <w:sz w:val="20"/>
                <w:szCs w:val="20"/>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459" w:type="dxa"/>
            <w:vMerge w:val="continue"/>
            <w:tcBorders>
              <w:top w:val="nil"/>
              <w:left w:val="single" w:color="000000" w:sz="8" w:space="0"/>
              <w:bottom w:val="nil"/>
            </w:tcBorders>
            <w:vAlign w:val="top"/>
          </w:tcPr>
          <w:p>
            <w:pPr>
              <w:rPr>
                <w:rFonts w:ascii="Arial"/>
                <w:sz w:val="21"/>
              </w:rPr>
            </w:pPr>
          </w:p>
        </w:tc>
        <w:tc>
          <w:tcPr>
            <w:tcW w:w="2255" w:type="dxa"/>
            <w:vAlign w:val="top"/>
          </w:tcPr>
          <w:p>
            <w:pPr>
              <w:spacing w:before="60" w:line="188" w:lineRule="auto"/>
              <w:ind w:left="1190"/>
              <w:rPr>
                <w:rFonts w:ascii="仿宋" w:hAnsi="仿宋" w:eastAsia="仿宋" w:cs="仿宋"/>
                <w:sz w:val="20"/>
                <w:szCs w:val="20"/>
              </w:rPr>
            </w:pPr>
            <w:r>
              <w:rPr>
                <w:rFonts w:ascii="仿宋" w:hAnsi="仿宋" w:eastAsia="仿宋" w:cs="仿宋"/>
                <w:spacing w:val="4"/>
                <w:sz w:val="20"/>
                <w:szCs w:val="20"/>
              </w:rPr>
              <w:t>AB</w:t>
            </w:r>
          </w:p>
        </w:tc>
        <w:tc>
          <w:tcPr>
            <w:tcW w:w="2308" w:type="dxa"/>
            <w:vAlign w:val="top"/>
          </w:tcPr>
          <w:p>
            <w:pPr>
              <w:spacing w:before="62" w:line="186" w:lineRule="auto"/>
              <w:ind w:left="1207"/>
              <w:rPr>
                <w:rFonts w:ascii="仿宋" w:hAnsi="仿宋" w:eastAsia="仿宋" w:cs="仿宋"/>
                <w:sz w:val="20"/>
                <w:szCs w:val="20"/>
              </w:rPr>
            </w:pPr>
            <w:r>
              <w:rPr>
                <w:rFonts w:ascii="仿宋" w:hAnsi="仿宋" w:eastAsia="仿宋" w:cs="仿宋"/>
                <w:spacing w:val="1"/>
                <w:sz w:val="20"/>
                <w:szCs w:val="20"/>
              </w:rPr>
              <w:t>700</w:t>
            </w:r>
          </w:p>
        </w:tc>
        <w:tc>
          <w:tcPr>
            <w:tcW w:w="2433" w:type="dxa"/>
            <w:tcBorders>
              <w:right w:val="single" w:color="000000" w:sz="8" w:space="0"/>
            </w:tcBorders>
            <w:vAlign w:val="top"/>
          </w:tcPr>
          <w:p>
            <w:pPr>
              <w:spacing w:before="26" w:line="269" w:lineRule="exact"/>
              <w:ind w:left="1223"/>
              <w:rPr>
                <w:rFonts w:ascii="仿宋" w:hAnsi="仿宋" w:eastAsia="仿宋" w:cs="仿宋"/>
                <w:sz w:val="20"/>
                <w:szCs w:val="20"/>
              </w:rPr>
            </w:pPr>
            <w:r>
              <w:rPr>
                <w:rFonts w:ascii="仿宋" w:hAnsi="仿宋" w:eastAsia="仿宋" w:cs="仿宋"/>
                <w:spacing w:val="-4"/>
                <w:position w:val="1"/>
                <w:sz w:val="20"/>
                <w:szCs w:val="20"/>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459" w:type="dxa"/>
            <w:vMerge w:val="continue"/>
            <w:tcBorders>
              <w:top w:val="nil"/>
              <w:left w:val="single" w:color="000000" w:sz="8" w:space="0"/>
            </w:tcBorders>
            <w:vAlign w:val="top"/>
          </w:tcPr>
          <w:p>
            <w:pPr>
              <w:rPr>
                <w:rFonts w:ascii="Arial"/>
                <w:sz w:val="21"/>
              </w:rPr>
            </w:pPr>
          </w:p>
        </w:tc>
        <w:tc>
          <w:tcPr>
            <w:tcW w:w="2255" w:type="dxa"/>
            <w:vAlign w:val="top"/>
          </w:tcPr>
          <w:p>
            <w:pPr>
              <w:spacing w:before="62" w:line="188" w:lineRule="auto"/>
              <w:ind w:left="1190"/>
              <w:rPr>
                <w:rFonts w:ascii="仿宋" w:hAnsi="仿宋" w:eastAsia="仿宋" w:cs="仿宋"/>
                <w:sz w:val="20"/>
                <w:szCs w:val="20"/>
              </w:rPr>
            </w:pPr>
            <w:r>
              <w:rPr>
                <w:rFonts w:ascii="仿宋" w:hAnsi="仿宋" w:eastAsia="仿宋" w:cs="仿宋"/>
                <w:spacing w:val="3"/>
                <w:sz w:val="20"/>
                <w:szCs w:val="20"/>
              </w:rPr>
              <w:t>A</w:t>
            </w:r>
          </w:p>
        </w:tc>
        <w:tc>
          <w:tcPr>
            <w:tcW w:w="2308" w:type="dxa"/>
            <w:vAlign w:val="top"/>
          </w:tcPr>
          <w:p>
            <w:pPr>
              <w:spacing w:before="63" w:line="187" w:lineRule="auto"/>
              <w:ind w:left="1218"/>
              <w:rPr>
                <w:rFonts w:ascii="仿宋" w:hAnsi="仿宋" w:eastAsia="仿宋" w:cs="仿宋"/>
                <w:sz w:val="20"/>
                <w:szCs w:val="20"/>
              </w:rPr>
            </w:pPr>
            <w:r>
              <w:rPr>
                <w:rFonts w:ascii="仿宋" w:hAnsi="仿宋" w:eastAsia="仿宋" w:cs="仿宋"/>
                <w:spacing w:val="-1"/>
                <w:sz w:val="20"/>
                <w:szCs w:val="20"/>
              </w:rPr>
              <w:t>1000</w:t>
            </w:r>
          </w:p>
        </w:tc>
        <w:tc>
          <w:tcPr>
            <w:tcW w:w="2433" w:type="dxa"/>
            <w:tcBorders>
              <w:right w:val="single" w:color="000000" w:sz="8" w:space="0"/>
            </w:tcBorders>
            <w:vAlign w:val="top"/>
          </w:tcPr>
          <w:p>
            <w:pPr>
              <w:spacing w:before="28" w:line="269" w:lineRule="exact"/>
              <w:ind w:left="1223"/>
              <w:rPr>
                <w:rFonts w:ascii="仿宋" w:hAnsi="仿宋" w:eastAsia="仿宋" w:cs="仿宋"/>
                <w:sz w:val="20"/>
                <w:szCs w:val="20"/>
              </w:rPr>
            </w:pPr>
            <w:r>
              <w:rPr>
                <w:rFonts w:ascii="仿宋" w:hAnsi="仿宋" w:eastAsia="仿宋" w:cs="仿宋"/>
                <w:spacing w:val="-4"/>
                <w:position w:val="1"/>
                <w:sz w:val="20"/>
                <w:szCs w:val="20"/>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459" w:type="dxa"/>
            <w:vMerge w:val="restart"/>
            <w:tcBorders>
              <w:left w:val="single" w:color="000000" w:sz="8" w:space="0"/>
              <w:bottom w:val="nil"/>
            </w:tcBorders>
            <w:vAlign w:val="top"/>
          </w:tcPr>
          <w:p>
            <w:pPr>
              <w:spacing w:before="282" w:line="270" w:lineRule="exact"/>
              <w:ind w:left="9"/>
              <w:rPr>
                <w:rFonts w:ascii="仿宋" w:hAnsi="仿宋" w:eastAsia="仿宋" w:cs="仿宋"/>
                <w:sz w:val="20"/>
                <w:szCs w:val="20"/>
              </w:rPr>
            </w:pPr>
            <w:r>
              <w:rPr>
                <w:rFonts w:ascii="仿宋" w:hAnsi="仿宋" w:eastAsia="仿宋" w:cs="仿宋"/>
                <w:position w:val="1"/>
                <w:sz w:val="20"/>
                <w:szCs w:val="20"/>
              </w:rPr>
              <w:t>Zn</w:t>
            </w:r>
            <w:r>
              <w:rPr>
                <w:rFonts w:ascii="仿宋" w:hAnsi="仿宋" w:eastAsia="仿宋" w:cs="仿宋"/>
                <w:spacing w:val="2"/>
                <w:position w:val="1"/>
                <w:sz w:val="20"/>
                <w:szCs w:val="20"/>
              </w:rPr>
              <w:t>-</w:t>
            </w:r>
            <w:r>
              <w:rPr>
                <w:rFonts w:ascii="仿宋" w:hAnsi="仿宋" w:eastAsia="仿宋" w:cs="仿宋"/>
                <w:spacing w:val="28"/>
                <w:position w:val="1"/>
                <w:sz w:val="20"/>
                <w:szCs w:val="20"/>
              </w:rPr>
              <w:t xml:space="preserve"> </w:t>
            </w:r>
            <w:r>
              <w:rPr>
                <w:rFonts w:ascii="仿宋" w:hAnsi="仿宋" w:eastAsia="仿宋" w:cs="仿宋"/>
                <w:spacing w:val="2"/>
                <w:position w:val="1"/>
                <w:sz w:val="20"/>
                <w:szCs w:val="20"/>
              </w:rPr>
              <w:t>10%</w:t>
            </w:r>
            <w:r>
              <w:rPr>
                <w:rFonts w:ascii="仿宋" w:hAnsi="仿宋" w:eastAsia="仿宋" w:cs="仿宋"/>
                <w:position w:val="1"/>
                <w:sz w:val="20"/>
                <w:szCs w:val="20"/>
              </w:rPr>
              <w:t>Al</w:t>
            </w:r>
          </w:p>
        </w:tc>
        <w:tc>
          <w:tcPr>
            <w:tcW w:w="2255" w:type="dxa"/>
            <w:vAlign w:val="top"/>
          </w:tcPr>
          <w:p>
            <w:pPr>
              <w:spacing w:before="66" w:line="184" w:lineRule="auto"/>
              <w:ind w:left="1192"/>
              <w:rPr>
                <w:rFonts w:ascii="仿宋" w:hAnsi="仿宋" w:eastAsia="仿宋" w:cs="仿宋"/>
                <w:sz w:val="20"/>
                <w:szCs w:val="20"/>
              </w:rPr>
            </w:pPr>
            <w:r>
              <w:rPr>
                <w:rFonts w:ascii="仿宋" w:hAnsi="仿宋" w:eastAsia="仿宋" w:cs="仿宋"/>
                <w:spacing w:val="1"/>
                <w:sz w:val="20"/>
                <w:szCs w:val="20"/>
              </w:rPr>
              <w:t>B</w:t>
            </w:r>
          </w:p>
        </w:tc>
        <w:tc>
          <w:tcPr>
            <w:tcW w:w="2308" w:type="dxa"/>
            <w:vAlign w:val="top"/>
          </w:tcPr>
          <w:p>
            <w:pPr>
              <w:spacing w:before="62" w:line="187" w:lineRule="auto"/>
              <w:ind w:left="1218"/>
              <w:rPr>
                <w:rFonts w:ascii="仿宋" w:hAnsi="仿宋" w:eastAsia="仿宋" w:cs="仿宋"/>
                <w:sz w:val="20"/>
                <w:szCs w:val="20"/>
              </w:rPr>
            </w:pPr>
            <w:r>
              <w:rPr>
                <w:rFonts w:ascii="仿宋" w:hAnsi="仿宋" w:eastAsia="仿宋" w:cs="仿宋"/>
                <w:spacing w:val="-1"/>
                <w:sz w:val="20"/>
                <w:szCs w:val="20"/>
              </w:rPr>
              <w:t>1000</w:t>
            </w:r>
          </w:p>
        </w:tc>
        <w:tc>
          <w:tcPr>
            <w:tcW w:w="2433" w:type="dxa"/>
            <w:tcBorders>
              <w:right w:val="single" w:color="000000" w:sz="8" w:space="0"/>
            </w:tcBorders>
            <w:vAlign w:val="top"/>
          </w:tcPr>
          <w:p>
            <w:pPr>
              <w:spacing w:before="27" w:line="270" w:lineRule="exact"/>
              <w:ind w:left="1223"/>
              <w:rPr>
                <w:rFonts w:ascii="仿宋" w:hAnsi="仿宋" w:eastAsia="仿宋" w:cs="仿宋"/>
                <w:sz w:val="20"/>
                <w:szCs w:val="20"/>
              </w:rPr>
            </w:pPr>
            <w:r>
              <w:rPr>
                <w:rFonts w:ascii="仿宋" w:hAnsi="仿宋" w:eastAsia="仿宋" w:cs="仿宋"/>
                <w:spacing w:val="-4"/>
                <w:position w:val="1"/>
                <w:sz w:val="20"/>
                <w:szCs w:val="20"/>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459" w:type="dxa"/>
            <w:vMerge w:val="continue"/>
            <w:tcBorders>
              <w:top w:val="nil"/>
              <w:left w:val="single" w:color="000000" w:sz="8" w:space="0"/>
              <w:bottom w:val="nil"/>
            </w:tcBorders>
            <w:vAlign w:val="top"/>
          </w:tcPr>
          <w:p>
            <w:pPr>
              <w:rPr>
                <w:rFonts w:ascii="Arial"/>
                <w:sz w:val="21"/>
              </w:rPr>
            </w:pPr>
          </w:p>
        </w:tc>
        <w:tc>
          <w:tcPr>
            <w:tcW w:w="2255" w:type="dxa"/>
            <w:vAlign w:val="top"/>
          </w:tcPr>
          <w:p>
            <w:pPr>
              <w:spacing w:before="61" w:line="188" w:lineRule="auto"/>
              <w:ind w:left="1190"/>
              <w:rPr>
                <w:rFonts w:ascii="仿宋" w:hAnsi="仿宋" w:eastAsia="仿宋" w:cs="仿宋"/>
                <w:sz w:val="20"/>
                <w:szCs w:val="20"/>
              </w:rPr>
            </w:pPr>
            <w:r>
              <w:rPr>
                <w:rFonts w:ascii="仿宋" w:hAnsi="仿宋" w:eastAsia="仿宋" w:cs="仿宋"/>
                <w:spacing w:val="4"/>
                <w:sz w:val="20"/>
                <w:szCs w:val="20"/>
              </w:rPr>
              <w:t>AB</w:t>
            </w:r>
          </w:p>
        </w:tc>
        <w:tc>
          <w:tcPr>
            <w:tcW w:w="2308" w:type="dxa"/>
            <w:vAlign w:val="top"/>
          </w:tcPr>
          <w:p>
            <w:pPr>
              <w:spacing w:before="62" w:line="187" w:lineRule="auto"/>
              <w:ind w:left="1218"/>
              <w:rPr>
                <w:rFonts w:ascii="仿宋" w:hAnsi="仿宋" w:eastAsia="仿宋" w:cs="仿宋"/>
                <w:sz w:val="20"/>
                <w:szCs w:val="20"/>
              </w:rPr>
            </w:pPr>
            <w:r>
              <w:rPr>
                <w:rFonts w:ascii="仿宋" w:hAnsi="仿宋" w:eastAsia="仿宋" w:cs="仿宋"/>
                <w:spacing w:val="-1"/>
                <w:sz w:val="20"/>
                <w:szCs w:val="20"/>
              </w:rPr>
              <w:t>1400</w:t>
            </w:r>
          </w:p>
        </w:tc>
        <w:tc>
          <w:tcPr>
            <w:tcW w:w="2433" w:type="dxa"/>
            <w:tcBorders>
              <w:right w:val="single" w:color="000000" w:sz="8" w:space="0"/>
            </w:tcBorders>
            <w:vAlign w:val="top"/>
          </w:tcPr>
          <w:p>
            <w:pPr>
              <w:spacing w:before="27" w:line="270" w:lineRule="exact"/>
              <w:ind w:left="1223"/>
              <w:rPr>
                <w:rFonts w:ascii="仿宋" w:hAnsi="仿宋" w:eastAsia="仿宋" w:cs="仿宋"/>
                <w:sz w:val="20"/>
                <w:szCs w:val="20"/>
              </w:rPr>
            </w:pPr>
            <w:r>
              <w:rPr>
                <w:rFonts w:ascii="仿宋" w:hAnsi="仿宋" w:eastAsia="仿宋" w:cs="仿宋"/>
                <w:spacing w:val="-4"/>
                <w:position w:val="1"/>
                <w:sz w:val="20"/>
                <w:szCs w:val="20"/>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459" w:type="dxa"/>
            <w:vMerge w:val="continue"/>
            <w:tcBorders>
              <w:top w:val="nil"/>
              <w:left w:val="single" w:color="000000" w:sz="8" w:space="0"/>
            </w:tcBorders>
            <w:vAlign w:val="top"/>
          </w:tcPr>
          <w:p>
            <w:pPr>
              <w:rPr>
                <w:rFonts w:ascii="Arial"/>
                <w:sz w:val="21"/>
              </w:rPr>
            </w:pPr>
          </w:p>
        </w:tc>
        <w:tc>
          <w:tcPr>
            <w:tcW w:w="2255" w:type="dxa"/>
            <w:vAlign w:val="top"/>
          </w:tcPr>
          <w:p>
            <w:pPr>
              <w:spacing w:before="63" w:line="188" w:lineRule="auto"/>
              <w:ind w:left="1190"/>
              <w:rPr>
                <w:rFonts w:ascii="仿宋" w:hAnsi="仿宋" w:eastAsia="仿宋" w:cs="仿宋"/>
                <w:sz w:val="20"/>
                <w:szCs w:val="20"/>
              </w:rPr>
            </w:pPr>
            <w:r>
              <w:rPr>
                <w:rFonts w:ascii="仿宋" w:hAnsi="仿宋" w:eastAsia="仿宋" w:cs="仿宋"/>
                <w:spacing w:val="3"/>
                <w:sz w:val="20"/>
                <w:szCs w:val="20"/>
              </w:rPr>
              <w:t>A</w:t>
            </w:r>
          </w:p>
        </w:tc>
        <w:tc>
          <w:tcPr>
            <w:tcW w:w="2308" w:type="dxa"/>
            <w:vAlign w:val="top"/>
          </w:tcPr>
          <w:p>
            <w:pPr>
              <w:spacing w:before="65" w:line="186" w:lineRule="auto"/>
              <w:ind w:left="1205"/>
              <w:rPr>
                <w:rFonts w:ascii="仿宋" w:hAnsi="仿宋" w:eastAsia="仿宋" w:cs="仿宋"/>
                <w:sz w:val="20"/>
                <w:szCs w:val="20"/>
              </w:rPr>
            </w:pPr>
            <w:r>
              <w:rPr>
                <w:rFonts w:ascii="仿宋" w:hAnsi="仿宋" w:eastAsia="仿宋" w:cs="仿宋"/>
                <w:spacing w:val="2"/>
                <w:sz w:val="20"/>
                <w:szCs w:val="20"/>
              </w:rPr>
              <w:t>2000</w:t>
            </w:r>
          </w:p>
        </w:tc>
        <w:tc>
          <w:tcPr>
            <w:tcW w:w="2433" w:type="dxa"/>
            <w:tcBorders>
              <w:right w:val="single" w:color="000000" w:sz="8" w:space="0"/>
            </w:tcBorders>
            <w:vAlign w:val="top"/>
          </w:tcPr>
          <w:p>
            <w:pPr>
              <w:spacing w:before="29" w:line="270" w:lineRule="exact"/>
              <w:ind w:left="1223"/>
              <w:rPr>
                <w:rFonts w:ascii="仿宋" w:hAnsi="仿宋" w:eastAsia="仿宋" w:cs="仿宋"/>
                <w:sz w:val="20"/>
                <w:szCs w:val="20"/>
              </w:rPr>
            </w:pPr>
            <w:r>
              <w:rPr>
                <w:rFonts w:ascii="仿宋" w:hAnsi="仿宋" w:eastAsia="仿宋" w:cs="仿宋"/>
                <w:spacing w:val="-4"/>
                <w:position w:val="1"/>
                <w:sz w:val="20"/>
                <w:szCs w:val="20"/>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8455" w:type="dxa"/>
            <w:gridSpan w:val="4"/>
            <w:tcBorders>
              <w:left w:val="single" w:color="000000" w:sz="8" w:space="0"/>
              <w:right w:val="single" w:color="000000" w:sz="8" w:space="0"/>
            </w:tcBorders>
            <w:vAlign w:val="top"/>
          </w:tcPr>
          <w:p>
            <w:pPr>
              <w:spacing w:before="30" w:line="197" w:lineRule="auto"/>
              <w:ind w:left="1220" w:right="96"/>
              <w:rPr>
                <w:rFonts w:ascii="仿宋" w:hAnsi="仿宋" w:eastAsia="仿宋" w:cs="仿宋"/>
                <w:sz w:val="20"/>
                <w:szCs w:val="20"/>
              </w:rPr>
            </w:pPr>
            <w:r>
              <w:rPr>
                <w:rFonts w:ascii="仿宋" w:hAnsi="仿宋" w:eastAsia="仿宋" w:cs="仿宋"/>
                <w:spacing w:val="9"/>
                <w:sz w:val="20"/>
                <w:szCs w:val="20"/>
              </w:rPr>
              <w:t>注：用于中性盐雾测试的样品为构件成品或从成品中截取，且包含构件的全部</w:t>
            </w:r>
            <w:r>
              <w:rPr>
                <w:rFonts w:ascii="仿宋" w:hAnsi="仿宋" w:eastAsia="仿宋" w:cs="仿宋"/>
                <w:spacing w:val="10"/>
                <w:sz w:val="20"/>
                <w:szCs w:val="20"/>
              </w:rPr>
              <w:t xml:space="preserve"> </w:t>
            </w:r>
            <w:r>
              <w:rPr>
                <w:rFonts w:ascii="仿宋" w:hAnsi="仿宋" w:eastAsia="仿宋" w:cs="仿宋"/>
                <w:spacing w:val="-1"/>
                <w:sz w:val="20"/>
                <w:szCs w:val="20"/>
              </w:rPr>
              <w:t>主材。</w:t>
            </w:r>
          </w:p>
        </w:tc>
      </w:tr>
    </w:tbl>
    <w:p>
      <w:pPr>
        <w:pStyle w:val="11"/>
        <w:spacing w:line="269" w:lineRule="auto"/>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472" w:name="_Toc10346"/>
      <w:bookmarkStart w:id="473" w:name="_Toc31753"/>
      <w:bookmarkStart w:id="474" w:name="_Toc2177"/>
      <w:bookmarkStart w:id="475" w:name="_Toc3643"/>
      <w:bookmarkStart w:id="476" w:name="_Toc19544"/>
      <w:r>
        <w:rPr>
          <w:rFonts w:hint="eastAsia" w:asciiTheme="minorEastAsia" w:hAnsiTheme="minorEastAsia" w:eastAsiaTheme="minorEastAsia" w:cstheme="minorEastAsia"/>
          <w:sz w:val="24"/>
          <w:lang w:val="en-US" w:eastAsia="zh-CN"/>
        </w:rPr>
        <w:t>(2) 钢丝绳网</w:t>
      </w:r>
      <w:bookmarkEnd w:id="472"/>
      <w:bookmarkEnd w:id="473"/>
      <w:bookmarkEnd w:id="474"/>
      <w:bookmarkEnd w:id="475"/>
      <w:bookmarkEnd w:id="47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① 主动柔性防护网系统所用的钢丝绳应符合 GB/T 20118 的规定。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②单张钢丝绳网编织用钢丝绳不应超过两根，钢丝绳不应有断丝、脱丝、打结和明显扭曲等现象，钢丝绳网的形状应平整。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③网片中每个交叉节点处均应采用紧固件固定，紧固件和钢丝</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绳搭接处连接件表面不应有破裂和明显损伤。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④网片边长负误差不应大于 50mm，正误差不应大于一个网孔</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边长，网孔尺寸不应大于其相应型号网片中的标称值。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⑤ 编网用钢丝绳应满足GB/T 20118规定，强度等级不应低于1770N/mm2。</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⑥ 网片的抗拉强度、 抗顶破力应满足其配套系统的技术要求。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⑦ 钢丝绳交叉节点处紧固件的抗脱落拉力不应小于 10kN ，抗错动拉力不应小于 5kN ，错动后钢丝绳残余抗破断拉力不应小于原始最小抗破断拉力的 90%；钢丝绳搭接处的连接能力不应低于所连接钢丝绳的最小破断拉力的90%。</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477" w:name="_Toc30758"/>
      <w:bookmarkStart w:id="478" w:name="_Toc1688"/>
      <w:bookmarkStart w:id="479" w:name="_Toc9404"/>
      <w:bookmarkStart w:id="480" w:name="_Toc30182"/>
      <w:bookmarkStart w:id="481" w:name="_Toc191"/>
      <w:r>
        <w:rPr>
          <w:rFonts w:hint="eastAsia" w:asciiTheme="minorEastAsia" w:hAnsiTheme="minorEastAsia" w:eastAsiaTheme="minorEastAsia" w:cstheme="minorEastAsia"/>
          <w:sz w:val="24"/>
          <w:lang w:val="en-US" w:eastAsia="zh-CN"/>
        </w:rPr>
        <w:t>(3) 格栅网</w:t>
      </w:r>
      <w:bookmarkEnd w:id="477"/>
      <w:bookmarkEnd w:id="478"/>
      <w:bookmarkEnd w:id="479"/>
      <w:bookmarkEnd w:id="480"/>
      <w:bookmarkEnd w:id="48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① 网片中钢丝不应有明显机械损伤和脱丝，扭结处钢丝不应有裂纹。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② 网片尺寸负误差不应大于 50mm ，网孔尺寸正误差不应大于5mm。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③ 网片的抗拉强度、抗顶破强度应满足其配套系统的技术要。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482" w:name="_Toc29989"/>
      <w:bookmarkStart w:id="483" w:name="_Toc25976"/>
      <w:bookmarkStart w:id="484" w:name="_Toc23416"/>
      <w:bookmarkStart w:id="485" w:name="_Toc16342"/>
      <w:bookmarkStart w:id="486" w:name="_Toc22870"/>
      <w:r>
        <w:rPr>
          <w:rFonts w:hint="eastAsia" w:asciiTheme="minorEastAsia" w:hAnsiTheme="minorEastAsia" w:eastAsiaTheme="minorEastAsia" w:cstheme="minorEastAsia"/>
          <w:sz w:val="24"/>
          <w:lang w:val="en-US" w:eastAsia="zh-CN"/>
        </w:rPr>
        <w:t>(4) 连接构件</w:t>
      </w:r>
      <w:bookmarkEnd w:id="482"/>
      <w:bookmarkEnd w:id="483"/>
      <w:bookmarkEnd w:id="484"/>
      <w:bookmarkEnd w:id="485"/>
      <w:bookmarkEnd w:id="48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① 绳卡应符合 GB/T 5976 的要求，其防腐性能应满足足 GB/T13912 的要求，且满足表 7- 1 的要求。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② 其他连接构件应符合其相应的标准或规定要求。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487" w:name="_Toc5572"/>
      <w:bookmarkStart w:id="488" w:name="_Toc27053"/>
      <w:bookmarkStart w:id="489" w:name="_Toc25253"/>
      <w:bookmarkStart w:id="490" w:name="_Toc26337"/>
      <w:bookmarkStart w:id="491" w:name="_Toc8411"/>
      <w:r>
        <w:rPr>
          <w:rFonts w:hint="eastAsia" w:asciiTheme="minorEastAsia" w:hAnsiTheme="minorEastAsia" w:eastAsiaTheme="minorEastAsia" w:cstheme="minorEastAsia"/>
          <w:sz w:val="24"/>
          <w:lang w:val="en-US" w:eastAsia="zh-CN"/>
        </w:rPr>
        <w:t>(5) 试验方法</w:t>
      </w:r>
      <w:bookmarkEnd w:id="487"/>
      <w:bookmarkEnd w:id="488"/>
      <w:bookmarkEnd w:id="489"/>
      <w:bookmarkEnd w:id="490"/>
      <w:bookmarkEnd w:id="49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① 一般要求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a. 边坡柔性防护网系统中的钢丝钢丝绳及其制品的防腐性能应按 GB/T101252012  进行中性盐雾试验。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b. 边 坡 柔 性 防 护 网 系 统 中 的 钢 铁 制 件 的 防 腐 性 能 应 按GB/T13912  进行试验，且应按 GB/T10125—2012 进行中性盐雾试。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②主动防护系统的柔性金属网的抗顶破力应按 JT/T 1328-2020附录 C 进行试验。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③ 钢丝绳网</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a. 边坡柔性防护网系统所用钢丝绳性能应按 GB/T 20118 试验。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b. 网片外观宜采用目测检验。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c. 紧固件及连接件表面破损情况宜采用目测检验。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d. 网片及网孔尺寸宜采用分度值为 1mm 的钢卷尺测量， 其中网孔尺寸取不少于 10 个随机 测量值的平均值。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e. 编网用钢丝绳规格尺寸、力学性能应按 GB/T20118 要求试验。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f. 抗顶破力应按 JT/T 1328-2020 附录 C 试验，抗拉强度应按JT/T 1328-2020 附录 D 试验。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g. 紧固件抗脱落拉力和抗错动拉力应按 JT/T 1328-2020 附录F 试验，钢丝绳残余抗破断拉 力应按 GB/T8358 试验。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h. 钢丝绳网的防腐性能试验试样应至少包含一个交叉节点。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④ 格栅网</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a. 网片中钢丝机械损伤、脱丝和裂纹宜采用目测检验。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b. 网片及网孔尺寸宜采用分度值为 1mm 的钢卷尺测量， 其中网孔尺寸取不少于10个随机 测量值的平均值。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c. 抗顶破力应按 JT/T 1328-2020 附录 C 试验，抗拉强度应按JT/T 1328-2020 附录 D 试验。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d. 格栅网的防腐性能试验试样应至少包括三个连续网孔。</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⑤ 绳卡性能应按 GB/T 5976 规定的方法试验。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sz w:val="24"/>
          <w:lang w:val="en-US" w:eastAsia="zh-CN"/>
        </w:rPr>
      </w:pPr>
      <w:bookmarkStart w:id="492" w:name="_Toc19364"/>
      <w:bookmarkStart w:id="493" w:name="_Toc27079"/>
      <w:bookmarkStart w:id="494" w:name="_Toc8413"/>
      <w:bookmarkStart w:id="495" w:name="_Toc32353"/>
      <w:r>
        <w:rPr>
          <w:rFonts w:hint="eastAsia" w:asciiTheme="minorEastAsia" w:hAnsiTheme="minorEastAsia" w:eastAsiaTheme="minorEastAsia" w:cstheme="minorEastAsia"/>
          <w:sz w:val="24"/>
          <w:lang w:val="en-US" w:eastAsia="zh-CN"/>
        </w:rPr>
        <w:t>2、锚杆喷射混凝土防护系统</w:t>
      </w:r>
      <w:bookmarkEnd w:id="492"/>
      <w:bookmarkEnd w:id="493"/>
      <w:bookmarkEnd w:id="494"/>
      <w:bookmarkEnd w:id="4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496" w:name="_Toc4544"/>
      <w:bookmarkStart w:id="497" w:name="_Toc25470"/>
      <w:bookmarkStart w:id="498" w:name="_Toc15909"/>
      <w:bookmarkStart w:id="499" w:name="_Toc10561"/>
      <w:bookmarkStart w:id="500" w:name="_Toc25219"/>
      <w:r>
        <w:rPr>
          <w:rFonts w:hint="eastAsia" w:asciiTheme="minorEastAsia" w:hAnsiTheme="minorEastAsia" w:eastAsiaTheme="minorEastAsia" w:cstheme="minorEastAsia"/>
          <w:sz w:val="24"/>
          <w:lang w:val="en-US" w:eastAsia="zh-CN"/>
        </w:rPr>
        <w:t>(1)砂浆</w:t>
      </w:r>
      <w:bookmarkEnd w:id="496"/>
      <w:bookmarkEnd w:id="497"/>
      <w:bookmarkEnd w:id="498"/>
      <w:bookmarkEnd w:id="499"/>
      <w:bookmarkEnd w:id="50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砂浆中宜用中砂或粗砂，砂的最大粒径不宜大于 5mm。砂浆的强度等级不低于 M10 。锚杆 注浆用砂浆配合比，水泥︰砂宜为1:1~1:2 ，水灰比宜为 0.38~0.45。</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501" w:name="_Toc25085"/>
      <w:bookmarkStart w:id="502" w:name="_Toc15163"/>
      <w:bookmarkStart w:id="503" w:name="_Toc22968"/>
      <w:bookmarkStart w:id="504" w:name="_Toc19001"/>
      <w:bookmarkStart w:id="505" w:name="_Toc9877"/>
      <w:r>
        <w:rPr>
          <w:rFonts w:hint="eastAsia" w:asciiTheme="minorEastAsia" w:hAnsiTheme="minorEastAsia" w:eastAsiaTheme="minorEastAsia" w:cstheme="minorEastAsia"/>
          <w:sz w:val="24"/>
          <w:lang w:val="en-US" w:eastAsia="zh-CN"/>
        </w:rPr>
        <w:t>(2)水泥</w:t>
      </w:r>
      <w:bookmarkEnd w:id="501"/>
      <w:bookmarkEnd w:id="502"/>
      <w:bookmarkEnd w:id="503"/>
      <w:bookmarkEnd w:id="504"/>
      <w:bookmarkEnd w:id="50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本项目水泥均采用PO42.5 普通硅酸盐水泥，水泥的物理性能及化学成分应符合国家现行标准。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506" w:name="_Toc27831"/>
      <w:bookmarkStart w:id="507" w:name="_Toc7607"/>
      <w:bookmarkStart w:id="508" w:name="_Toc6300"/>
      <w:bookmarkStart w:id="509" w:name="_Toc30832"/>
      <w:bookmarkStart w:id="510" w:name="_Toc9028"/>
      <w:r>
        <w:rPr>
          <w:rFonts w:hint="eastAsia" w:asciiTheme="minorEastAsia" w:hAnsiTheme="minorEastAsia" w:eastAsiaTheme="minorEastAsia" w:cstheme="minorEastAsia"/>
          <w:sz w:val="24"/>
          <w:lang w:val="en-US" w:eastAsia="zh-CN"/>
        </w:rPr>
        <w:t>(3)钢筋</w:t>
      </w:r>
      <w:bookmarkEnd w:id="506"/>
      <w:bookmarkEnd w:id="507"/>
      <w:bookmarkEnd w:id="508"/>
      <w:bookmarkEnd w:id="509"/>
      <w:bookmarkEnd w:id="51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各种钢筋均应符合国家和行业现行相关标准的规定。钢筋不得有裂纹、断伤、刻痕、表面油污和锈蚀。传力杆应无毛刺，两端应加工成圆锥形或半径为2~3mm的圆倒角。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sz w:val="24"/>
          <w:lang w:val="en-US" w:eastAsia="zh-CN"/>
        </w:rPr>
      </w:pPr>
      <w:bookmarkStart w:id="511" w:name="_Toc14699"/>
      <w:bookmarkStart w:id="512" w:name="_Toc31853"/>
      <w:bookmarkStart w:id="513" w:name="_Toc21543"/>
      <w:bookmarkStart w:id="514" w:name="_Toc1568"/>
      <w:r>
        <w:rPr>
          <w:rFonts w:hint="eastAsia" w:asciiTheme="minorEastAsia" w:hAnsiTheme="minorEastAsia" w:eastAsiaTheme="minorEastAsia" w:cstheme="minorEastAsia"/>
          <w:sz w:val="24"/>
          <w:lang w:val="en-US" w:eastAsia="zh-CN"/>
        </w:rPr>
        <w:t>3、水泥混凝土及水泥砂浆</w:t>
      </w:r>
      <w:bookmarkEnd w:id="511"/>
      <w:bookmarkEnd w:id="512"/>
      <w:bookmarkEnd w:id="513"/>
      <w:bookmarkEnd w:id="51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515" w:name="_Toc25102"/>
      <w:bookmarkStart w:id="516" w:name="_Toc9463"/>
      <w:bookmarkStart w:id="517" w:name="_Toc21428"/>
      <w:bookmarkStart w:id="518" w:name="_Toc25579"/>
      <w:bookmarkStart w:id="519" w:name="_Toc32671"/>
      <w:r>
        <w:rPr>
          <w:rFonts w:hint="eastAsia" w:asciiTheme="minorEastAsia" w:hAnsiTheme="minorEastAsia" w:eastAsiaTheme="minorEastAsia" w:cstheme="minorEastAsia"/>
          <w:sz w:val="24"/>
          <w:lang w:val="en-US" w:eastAsia="zh-CN"/>
        </w:rPr>
        <w:t>(1)水泥</w:t>
      </w:r>
      <w:bookmarkEnd w:id="515"/>
      <w:bookmarkEnd w:id="516"/>
      <w:bookmarkEnd w:id="517"/>
      <w:bookmarkEnd w:id="518"/>
      <w:bookmarkEnd w:id="51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采用42.5级硅酸盐水泥，水泥的物理性能及化学成分应符合国家现行标准.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520" w:name="_Toc15157"/>
      <w:bookmarkStart w:id="521" w:name="_Toc6087"/>
      <w:bookmarkStart w:id="522" w:name="_Toc28299"/>
      <w:bookmarkStart w:id="523" w:name="_Toc4701"/>
      <w:bookmarkStart w:id="524" w:name="_Toc1641"/>
      <w:r>
        <w:rPr>
          <w:rFonts w:hint="eastAsia" w:asciiTheme="minorEastAsia" w:hAnsiTheme="minorEastAsia" w:eastAsiaTheme="minorEastAsia" w:cstheme="minorEastAsia"/>
          <w:sz w:val="24"/>
          <w:lang w:val="en-US" w:eastAsia="zh-CN"/>
        </w:rPr>
        <w:t>(2) 粗集料</w:t>
      </w:r>
      <w:bookmarkEnd w:id="520"/>
      <w:bookmarkEnd w:id="521"/>
      <w:bookmarkEnd w:id="522"/>
      <w:bookmarkEnd w:id="523"/>
      <w:bookmarkEnd w:id="52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粗集料应质地坚硬、耐久、洁净，符合级配要求，最大粒径不应超过26.5mm，超粒径含量不大于 5% ，小于0.075mm 的颗粒含量 不大于1%。粗集料的技术要求应符合表 7-2 的规定，粗集料的级配应符合表 6-3 的规定。</w:t>
      </w:r>
    </w:p>
    <w:p>
      <w:pPr>
        <w:spacing w:line="24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粗集料技术要求                                   表 7-2</w:t>
      </w:r>
    </w:p>
    <w:tbl>
      <w:tblPr>
        <w:tblStyle w:val="23"/>
        <w:tblW w:w="8502" w:type="dxa"/>
        <w:tblInd w:w="16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41"/>
        <w:gridCol w:w="346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4" w:hRule="atLeast"/>
        </w:trPr>
        <w:tc>
          <w:tcPr>
            <w:tcW w:w="5041" w:type="dxa"/>
            <w:tcBorders>
              <w:left w:val="single" w:color="000000" w:sz="8" w:space="0"/>
            </w:tcBorders>
            <w:vAlign w:val="top"/>
          </w:tcPr>
          <w:p>
            <w:pPr>
              <w:spacing w:before="106" w:line="232" w:lineRule="auto"/>
              <w:ind w:left="2595"/>
              <w:rPr>
                <w:rFonts w:ascii="仿宋" w:hAnsi="仿宋" w:eastAsia="仿宋" w:cs="仿宋"/>
                <w:sz w:val="20"/>
                <w:szCs w:val="20"/>
              </w:rPr>
            </w:pPr>
            <w:r>
              <w:rPr>
                <w:rFonts w:ascii="仿宋" w:hAnsi="仿宋" w:eastAsia="仿宋" w:cs="仿宋"/>
                <w:spacing w:val="-3"/>
                <w:sz w:val="20"/>
                <w:szCs w:val="20"/>
              </w:rPr>
              <w:t>项</w:t>
            </w:r>
            <w:r>
              <w:rPr>
                <w:rFonts w:ascii="仿宋" w:hAnsi="仿宋" w:eastAsia="仿宋" w:cs="仿宋"/>
                <w:spacing w:val="3"/>
                <w:sz w:val="20"/>
                <w:szCs w:val="20"/>
              </w:rPr>
              <w:t xml:space="preserve">     </w:t>
            </w:r>
            <w:r>
              <w:rPr>
                <w:rFonts w:ascii="仿宋" w:hAnsi="仿宋" w:eastAsia="仿宋" w:cs="仿宋"/>
                <w:spacing w:val="-3"/>
                <w:sz w:val="20"/>
                <w:szCs w:val="20"/>
              </w:rPr>
              <w:t>目</w:t>
            </w:r>
          </w:p>
        </w:tc>
        <w:tc>
          <w:tcPr>
            <w:tcW w:w="3461" w:type="dxa"/>
            <w:tcBorders>
              <w:right w:val="single" w:color="000000" w:sz="8" w:space="0"/>
            </w:tcBorders>
            <w:vAlign w:val="top"/>
          </w:tcPr>
          <w:p>
            <w:pPr>
              <w:spacing w:before="106" w:line="231" w:lineRule="auto"/>
              <w:ind w:left="1502"/>
              <w:rPr>
                <w:rFonts w:ascii="仿宋" w:hAnsi="仿宋" w:eastAsia="仿宋" w:cs="仿宋"/>
                <w:sz w:val="20"/>
                <w:szCs w:val="20"/>
              </w:rPr>
            </w:pPr>
            <w:r>
              <w:rPr>
                <w:rFonts w:ascii="仿宋" w:hAnsi="仿宋" w:eastAsia="仿宋" w:cs="仿宋"/>
                <w:spacing w:val="-6"/>
                <w:sz w:val="20"/>
                <w:szCs w:val="20"/>
              </w:rPr>
              <w:t>技</w:t>
            </w:r>
            <w:r>
              <w:rPr>
                <w:rFonts w:ascii="仿宋" w:hAnsi="仿宋" w:eastAsia="仿宋" w:cs="仿宋"/>
                <w:spacing w:val="27"/>
                <w:sz w:val="20"/>
                <w:szCs w:val="20"/>
              </w:rPr>
              <w:t xml:space="preserve"> </w:t>
            </w:r>
            <w:r>
              <w:rPr>
                <w:rFonts w:ascii="仿宋" w:hAnsi="仿宋" w:eastAsia="仿宋" w:cs="仿宋"/>
                <w:spacing w:val="-6"/>
                <w:sz w:val="20"/>
                <w:szCs w:val="20"/>
              </w:rPr>
              <w:t>术</w:t>
            </w:r>
            <w:r>
              <w:rPr>
                <w:rFonts w:ascii="仿宋" w:hAnsi="仿宋" w:eastAsia="仿宋" w:cs="仿宋"/>
                <w:spacing w:val="23"/>
                <w:sz w:val="20"/>
                <w:szCs w:val="20"/>
              </w:rPr>
              <w:t xml:space="preserve"> </w:t>
            </w:r>
            <w:r>
              <w:rPr>
                <w:rFonts w:ascii="仿宋" w:hAnsi="仿宋" w:eastAsia="仿宋" w:cs="仿宋"/>
                <w:spacing w:val="-6"/>
                <w:sz w:val="20"/>
                <w:szCs w:val="20"/>
              </w:rPr>
              <w:t>要</w:t>
            </w:r>
            <w:r>
              <w:rPr>
                <w:rFonts w:ascii="仿宋" w:hAnsi="仿宋" w:eastAsia="仿宋" w:cs="仿宋"/>
                <w:spacing w:val="26"/>
                <w:sz w:val="20"/>
                <w:szCs w:val="20"/>
              </w:rPr>
              <w:t xml:space="preserve"> </w:t>
            </w:r>
            <w:r>
              <w:rPr>
                <w:rFonts w:ascii="仿宋" w:hAnsi="仿宋" w:eastAsia="仿宋" w:cs="仿宋"/>
                <w:spacing w:val="-6"/>
                <w:sz w:val="20"/>
                <w:szCs w:val="20"/>
              </w:rPr>
              <w:t>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5041" w:type="dxa"/>
            <w:tcBorders>
              <w:left w:val="single" w:color="000000" w:sz="8" w:space="0"/>
            </w:tcBorders>
            <w:vAlign w:val="top"/>
          </w:tcPr>
          <w:p>
            <w:pPr>
              <w:spacing w:before="76" w:line="229" w:lineRule="auto"/>
              <w:ind w:left="2385"/>
              <w:rPr>
                <w:rFonts w:ascii="仿宋" w:hAnsi="仿宋" w:eastAsia="仿宋" w:cs="仿宋"/>
                <w:sz w:val="20"/>
                <w:szCs w:val="20"/>
              </w:rPr>
            </w:pPr>
            <w:r>
              <w:rPr>
                <w:rFonts w:ascii="仿宋" w:hAnsi="仿宋" w:eastAsia="仿宋" w:cs="仿宋"/>
                <w:spacing w:val="5"/>
                <w:sz w:val="20"/>
                <w:szCs w:val="20"/>
              </w:rPr>
              <w:t>石料强度等级</w:t>
            </w:r>
          </w:p>
        </w:tc>
        <w:tc>
          <w:tcPr>
            <w:tcW w:w="3461" w:type="dxa"/>
            <w:tcBorders>
              <w:right w:val="single" w:color="000000" w:sz="8" w:space="0"/>
            </w:tcBorders>
            <w:vAlign w:val="top"/>
          </w:tcPr>
          <w:p>
            <w:pPr>
              <w:spacing w:before="62" w:line="232" w:lineRule="auto"/>
              <w:ind w:left="1819"/>
              <w:rPr>
                <w:rFonts w:ascii="仿宋" w:hAnsi="仿宋" w:eastAsia="仿宋" w:cs="仿宋"/>
                <w:sz w:val="20"/>
                <w:szCs w:val="20"/>
              </w:rPr>
            </w:pPr>
            <w:r>
              <w:rPr>
                <w:rFonts w:ascii="仿宋" w:hAnsi="仿宋" w:eastAsia="仿宋" w:cs="仿宋"/>
                <w:spacing w:val="-9"/>
                <w:sz w:val="20"/>
                <w:szCs w:val="20"/>
              </w:rPr>
              <w:t>≥</w:t>
            </w:r>
            <w:r>
              <w:rPr>
                <w:rFonts w:ascii="仿宋" w:hAnsi="仿宋" w:eastAsia="仿宋" w:cs="仿宋"/>
                <w:spacing w:val="26"/>
                <w:sz w:val="20"/>
                <w:szCs w:val="20"/>
              </w:rPr>
              <w:t xml:space="preserve"> </w:t>
            </w:r>
            <w:r>
              <w:rPr>
                <w:rFonts w:ascii="仿宋" w:hAnsi="仿宋" w:eastAsia="仿宋" w:cs="仿宋"/>
                <w:spacing w:val="-9"/>
                <w:sz w:val="20"/>
                <w:szCs w:val="20"/>
              </w:rPr>
              <w:t>3</w:t>
            </w:r>
            <w:r>
              <w:rPr>
                <w:rFonts w:ascii="仿宋" w:hAnsi="仿宋" w:eastAsia="仿宋" w:cs="仿宋"/>
                <w:spacing w:val="27"/>
                <w:sz w:val="20"/>
                <w:szCs w:val="20"/>
              </w:rPr>
              <w:t xml:space="preserve"> </w:t>
            </w:r>
            <w:r>
              <w:rPr>
                <w:rFonts w:ascii="仿宋" w:hAnsi="仿宋" w:eastAsia="仿宋" w:cs="仿宋"/>
                <w:spacing w:val="-9"/>
                <w:sz w:val="20"/>
                <w:szCs w:val="20"/>
              </w:rPr>
              <w:t>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5041" w:type="dxa"/>
            <w:tcBorders>
              <w:left w:val="single" w:color="000000" w:sz="8" w:space="0"/>
            </w:tcBorders>
            <w:vAlign w:val="top"/>
          </w:tcPr>
          <w:p>
            <w:pPr>
              <w:spacing w:before="63" w:line="229" w:lineRule="auto"/>
              <w:ind w:left="2402"/>
              <w:rPr>
                <w:rFonts w:ascii="仿宋" w:hAnsi="仿宋" w:eastAsia="仿宋" w:cs="仿宋"/>
                <w:sz w:val="20"/>
                <w:szCs w:val="20"/>
              </w:rPr>
            </w:pPr>
            <w:r>
              <w:rPr>
                <w:rFonts w:ascii="仿宋" w:hAnsi="仿宋" w:eastAsia="仿宋" w:cs="仿宋"/>
                <w:spacing w:val="-4"/>
                <w:sz w:val="20"/>
                <w:szCs w:val="20"/>
              </w:rPr>
              <w:t>压碎值</w:t>
            </w:r>
            <w:r>
              <w:rPr>
                <w:rFonts w:ascii="仿宋" w:hAnsi="仿宋" w:eastAsia="仿宋" w:cs="仿宋"/>
                <w:spacing w:val="49"/>
                <w:sz w:val="20"/>
                <w:szCs w:val="20"/>
              </w:rPr>
              <w:t xml:space="preserve"> </w:t>
            </w:r>
            <w:r>
              <w:rPr>
                <w:rFonts w:ascii="仿宋" w:hAnsi="仿宋" w:eastAsia="仿宋" w:cs="仿宋"/>
                <w:spacing w:val="-4"/>
                <w:sz w:val="20"/>
                <w:szCs w:val="20"/>
              </w:rPr>
              <w:t>(%)</w:t>
            </w:r>
          </w:p>
        </w:tc>
        <w:tc>
          <w:tcPr>
            <w:tcW w:w="3461" w:type="dxa"/>
            <w:tcBorders>
              <w:right w:val="single" w:color="000000" w:sz="8" w:space="0"/>
            </w:tcBorders>
            <w:vAlign w:val="top"/>
          </w:tcPr>
          <w:p>
            <w:pPr>
              <w:spacing w:before="77" w:line="271" w:lineRule="exact"/>
              <w:ind w:left="1913"/>
              <w:rPr>
                <w:rFonts w:ascii="仿宋" w:hAnsi="仿宋" w:eastAsia="仿宋" w:cs="仿宋"/>
                <w:sz w:val="20"/>
                <w:szCs w:val="20"/>
              </w:rPr>
            </w:pPr>
            <w:r>
              <w:rPr>
                <w:rFonts w:ascii="仿宋" w:hAnsi="仿宋" w:eastAsia="仿宋" w:cs="仿宋"/>
                <w:spacing w:val="-1"/>
                <w:position w:val="1"/>
                <w:sz w:val="20"/>
                <w:szCs w:val="20"/>
              </w:rPr>
              <w:t>&lt;20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0" w:hRule="atLeast"/>
        </w:trPr>
        <w:tc>
          <w:tcPr>
            <w:tcW w:w="5041" w:type="dxa"/>
            <w:tcBorders>
              <w:left w:val="single" w:color="000000" w:sz="8" w:space="0"/>
            </w:tcBorders>
            <w:vAlign w:val="top"/>
          </w:tcPr>
          <w:p>
            <w:pPr>
              <w:spacing w:before="62" w:line="231" w:lineRule="auto"/>
              <w:ind w:left="2087"/>
              <w:rPr>
                <w:rFonts w:ascii="仿宋" w:hAnsi="仿宋" w:eastAsia="仿宋" w:cs="仿宋"/>
                <w:sz w:val="20"/>
                <w:szCs w:val="20"/>
              </w:rPr>
            </w:pPr>
            <w:r>
              <w:rPr>
                <w:rFonts w:ascii="仿宋" w:hAnsi="仿宋" w:eastAsia="仿宋" w:cs="仿宋"/>
                <w:sz w:val="20"/>
                <w:szCs w:val="20"/>
              </w:rPr>
              <w:t>针、片状含量</w:t>
            </w:r>
            <w:r>
              <w:rPr>
                <w:rFonts w:ascii="仿宋" w:hAnsi="仿宋" w:eastAsia="仿宋" w:cs="仿宋"/>
                <w:spacing w:val="52"/>
                <w:sz w:val="20"/>
                <w:szCs w:val="20"/>
              </w:rPr>
              <w:t xml:space="preserve"> </w:t>
            </w:r>
            <w:r>
              <w:rPr>
                <w:rFonts w:ascii="仿宋" w:hAnsi="仿宋" w:eastAsia="仿宋" w:cs="仿宋"/>
                <w:sz w:val="20"/>
                <w:szCs w:val="20"/>
              </w:rPr>
              <w:t>(%)</w:t>
            </w:r>
          </w:p>
        </w:tc>
        <w:tc>
          <w:tcPr>
            <w:tcW w:w="3461" w:type="dxa"/>
            <w:tcBorders>
              <w:right w:val="single" w:color="000000" w:sz="8" w:space="0"/>
            </w:tcBorders>
            <w:vAlign w:val="top"/>
          </w:tcPr>
          <w:p>
            <w:pPr>
              <w:spacing w:before="76" w:line="271" w:lineRule="exact"/>
              <w:ind w:left="1913"/>
              <w:rPr>
                <w:rFonts w:ascii="仿宋" w:hAnsi="仿宋" w:eastAsia="仿宋" w:cs="仿宋"/>
                <w:sz w:val="20"/>
                <w:szCs w:val="20"/>
              </w:rPr>
            </w:pPr>
            <w:r>
              <w:rPr>
                <w:rFonts w:ascii="仿宋" w:hAnsi="仿宋" w:eastAsia="仿宋" w:cs="仿宋"/>
                <w:spacing w:val="-1"/>
                <w:position w:val="1"/>
                <w:sz w:val="20"/>
                <w:szCs w:val="20"/>
              </w:rPr>
              <w:t>&lt;20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5041" w:type="dxa"/>
            <w:tcBorders>
              <w:left w:val="single" w:color="000000" w:sz="8" w:space="0"/>
            </w:tcBorders>
            <w:vAlign w:val="top"/>
          </w:tcPr>
          <w:p>
            <w:pPr>
              <w:spacing w:before="66" w:line="229" w:lineRule="auto"/>
              <w:ind w:left="1103"/>
              <w:rPr>
                <w:rFonts w:ascii="仿宋" w:hAnsi="仿宋" w:eastAsia="仿宋" w:cs="仿宋"/>
                <w:sz w:val="20"/>
                <w:szCs w:val="20"/>
              </w:rPr>
            </w:pPr>
            <w:r>
              <w:rPr>
                <w:rFonts w:ascii="仿宋" w:hAnsi="仿宋" w:eastAsia="仿宋" w:cs="仿宋"/>
                <w:spacing w:val="7"/>
                <w:sz w:val="20"/>
                <w:szCs w:val="20"/>
              </w:rPr>
              <w:t>硫化物及硫酸盐含量</w:t>
            </w:r>
            <w:r>
              <w:rPr>
                <w:rFonts w:ascii="仿宋" w:hAnsi="仿宋" w:eastAsia="仿宋" w:cs="仿宋"/>
                <w:spacing w:val="53"/>
                <w:sz w:val="20"/>
                <w:szCs w:val="20"/>
              </w:rPr>
              <w:t xml:space="preserve"> </w:t>
            </w:r>
            <w:r>
              <w:rPr>
                <w:rFonts w:ascii="仿宋" w:hAnsi="仿宋" w:eastAsia="仿宋" w:cs="仿宋"/>
                <w:spacing w:val="7"/>
                <w:sz w:val="20"/>
                <w:szCs w:val="20"/>
              </w:rPr>
              <w:t xml:space="preserve">(折算为 </w:t>
            </w:r>
            <w:r>
              <w:rPr>
                <w:rFonts w:ascii="仿宋" w:hAnsi="仿宋" w:eastAsia="仿宋" w:cs="仿宋"/>
                <w:sz w:val="20"/>
                <w:szCs w:val="20"/>
              </w:rPr>
              <w:t>SO</w:t>
            </w:r>
            <w:r>
              <w:rPr>
                <w:rFonts w:ascii="仿宋" w:hAnsi="仿宋" w:eastAsia="仿宋" w:cs="仿宋"/>
                <w:spacing w:val="7"/>
                <w:position w:val="-1"/>
                <w:sz w:val="12"/>
                <w:szCs w:val="12"/>
              </w:rPr>
              <w:t xml:space="preserve">3 </w:t>
            </w:r>
            <w:r>
              <w:rPr>
                <w:rFonts w:ascii="仿宋" w:hAnsi="仿宋" w:eastAsia="仿宋" w:cs="仿宋"/>
                <w:spacing w:val="7"/>
                <w:sz w:val="20"/>
                <w:szCs w:val="20"/>
              </w:rPr>
              <w:t>)(%)</w:t>
            </w:r>
          </w:p>
        </w:tc>
        <w:tc>
          <w:tcPr>
            <w:tcW w:w="3461" w:type="dxa"/>
            <w:tcBorders>
              <w:right w:val="single" w:color="000000" w:sz="8" w:space="0"/>
            </w:tcBorders>
            <w:vAlign w:val="top"/>
          </w:tcPr>
          <w:p>
            <w:pPr>
              <w:spacing w:before="80" w:line="272" w:lineRule="exact"/>
              <w:ind w:left="1966"/>
              <w:rPr>
                <w:rFonts w:ascii="仿宋" w:hAnsi="仿宋" w:eastAsia="仿宋" w:cs="仿宋"/>
                <w:sz w:val="20"/>
                <w:szCs w:val="20"/>
              </w:rPr>
            </w:pPr>
            <w:r>
              <w:rPr>
                <w:rFonts w:ascii="仿宋" w:hAnsi="仿宋" w:eastAsia="仿宋" w:cs="仿宋"/>
                <w:spacing w:val="-4"/>
                <w:position w:val="1"/>
                <w:sz w:val="20"/>
                <w:szCs w:val="20"/>
              </w:rPr>
              <w:t>&lt;</w:t>
            </w:r>
            <w:r>
              <w:rPr>
                <w:rFonts w:ascii="仿宋" w:hAnsi="仿宋" w:eastAsia="仿宋" w:cs="仿宋"/>
                <w:spacing w:val="5"/>
                <w:position w:val="1"/>
                <w:sz w:val="20"/>
                <w:szCs w:val="20"/>
              </w:rPr>
              <w:t xml:space="preserve"> </w:t>
            </w:r>
            <w:r>
              <w:rPr>
                <w:rFonts w:ascii="仿宋" w:hAnsi="仿宋" w:eastAsia="仿宋" w:cs="仿宋"/>
                <w:spacing w:val="-4"/>
                <w:position w:val="1"/>
                <w:sz w:val="20"/>
                <w:szCs w:val="20"/>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trPr>
        <w:tc>
          <w:tcPr>
            <w:tcW w:w="5041" w:type="dxa"/>
            <w:tcBorders>
              <w:left w:val="single" w:color="000000" w:sz="8" w:space="0"/>
            </w:tcBorders>
            <w:vAlign w:val="top"/>
          </w:tcPr>
          <w:p>
            <w:pPr>
              <w:spacing w:before="69" w:line="231" w:lineRule="auto"/>
              <w:ind w:left="1825"/>
              <w:rPr>
                <w:rFonts w:ascii="仿宋" w:hAnsi="仿宋" w:eastAsia="仿宋" w:cs="仿宋"/>
                <w:sz w:val="20"/>
                <w:szCs w:val="20"/>
              </w:rPr>
            </w:pPr>
            <w:r>
              <w:rPr>
                <w:rFonts w:ascii="仿宋" w:hAnsi="仿宋" w:eastAsia="仿宋" w:cs="仿宋"/>
                <w:spacing w:val="9"/>
                <w:sz w:val="20"/>
                <w:szCs w:val="20"/>
              </w:rPr>
              <w:t>含</w:t>
            </w:r>
            <w:r>
              <w:rPr>
                <w:rFonts w:ascii="仿宋" w:hAnsi="仿宋" w:eastAsia="仿宋" w:cs="仿宋"/>
                <w:spacing w:val="-51"/>
                <w:sz w:val="20"/>
                <w:szCs w:val="20"/>
              </w:rPr>
              <w:t xml:space="preserve"> </w:t>
            </w:r>
            <w:r>
              <w:rPr>
                <w:rFonts w:ascii="仿宋" w:hAnsi="仿宋" w:eastAsia="仿宋" w:cs="仿宋"/>
                <w:spacing w:val="9"/>
                <w:sz w:val="20"/>
                <w:szCs w:val="20"/>
              </w:rPr>
              <w:t>泥量</w:t>
            </w:r>
            <w:r>
              <w:rPr>
                <w:rFonts w:ascii="仿宋" w:hAnsi="仿宋" w:eastAsia="仿宋" w:cs="仿宋"/>
                <w:spacing w:val="76"/>
                <w:sz w:val="20"/>
                <w:szCs w:val="20"/>
              </w:rPr>
              <w:t xml:space="preserve"> </w:t>
            </w:r>
            <w:r>
              <w:rPr>
                <w:rFonts w:ascii="仿宋" w:hAnsi="仿宋" w:eastAsia="仿宋" w:cs="仿宋"/>
                <w:spacing w:val="9"/>
                <w:sz w:val="20"/>
                <w:szCs w:val="20"/>
              </w:rPr>
              <w:t>(按质量计)(%)</w:t>
            </w:r>
          </w:p>
        </w:tc>
        <w:tc>
          <w:tcPr>
            <w:tcW w:w="3461" w:type="dxa"/>
            <w:tcBorders>
              <w:right w:val="single" w:color="000000" w:sz="8" w:space="0"/>
            </w:tcBorders>
            <w:vAlign w:val="top"/>
          </w:tcPr>
          <w:p>
            <w:pPr>
              <w:spacing w:before="84" w:line="270" w:lineRule="exact"/>
              <w:ind w:left="1886"/>
              <w:rPr>
                <w:rFonts w:ascii="仿宋" w:hAnsi="仿宋" w:eastAsia="仿宋" w:cs="仿宋"/>
                <w:sz w:val="20"/>
                <w:szCs w:val="20"/>
              </w:rPr>
            </w:pPr>
            <w:r>
              <w:rPr>
                <w:rFonts w:ascii="仿宋" w:hAnsi="仿宋" w:eastAsia="仿宋" w:cs="仿宋"/>
                <w:spacing w:val="-7"/>
                <w:position w:val="1"/>
                <w:sz w:val="20"/>
                <w:szCs w:val="20"/>
              </w:rPr>
              <w:t>&lt;</w:t>
            </w:r>
            <w:r>
              <w:rPr>
                <w:rFonts w:ascii="仿宋" w:hAnsi="仿宋" w:eastAsia="仿宋" w:cs="仿宋"/>
                <w:spacing w:val="3"/>
                <w:position w:val="1"/>
                <w:sz w:val="20"/>
                <w:szCs w:val="20"/>
              </w:rPr>
              <w:t xml:space="preserve"> </w:t>
            </w:r>
            <w:r>
              <w:rPr>
                <w:rFonts w:ascii="仿宋" w:hAnsi="仿宋" w:eastAsia="仿宋" w:cs="仿宋"/>
                <w:spacing w:val="-7"/>
                <w:position w:val="1"/>
                <w:sz w:val="20"/>
                <w:szCs w:val="20"/>
              </w:rPr>
              <w:t>1.5</w:t>
            </w:r>
          </w:p>
        </w:tc>
      </w:tr>
    </w:tbl>
    <w:p>
      <w:pPr>
        <w:spacing w:before="92" w:line="221" w:lineRule="auto"/>
        <w:ind w:left="4510"/>
        <w:rPr>
          <w:rFonts w:ascii="仿宋" w:hAnsi="仿宋" w:eastAsia="仿宋" w:cs="仿宋"/>
          <w:sz w:val="24"/>
          <w:szCs w:val="24"/>
        </w:rPr>
      </w:pPr>
      <w:r>
        <w:rPr>
          <w:rFonts w:ascii="仿宋" w:hAnsi="仿宋" w:eastAsia="仿宋" w:cs="仿宋"/>
          <w:spacing w:val="-3"/>
          <w:sz w:val="24"/>
          <w:szCs w:val="24"/>
        </w:rPr>
        <w:t>粗集料标准级</w:t>
      </w:r>
    </w:p>
    <w:p>
      <w:pPr>
        <w:spacing w:before="97"/>
      </w:pPr>
    </w:p>
    <w:tbl>
      <w:tblPr>
        <w:tblStyle w:val="23"/>
        <w:tblW w:w="8942" w:type="dxa"/>
        <w:tblInd w:w="1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6"/>
        <w:gridCol w:w="1310"/>
        <w:gridCol w:w="882"/>
        <w:gridCol w:w="818"/>
        <w:gridCol w:w="847"/>
        <w:gridCol w:w="900"/>
        <w:gridCol w:w="902"/>
        <w:gridCol w:w="1128"/>
        <w:gridCol w:w="14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trPr>
        <w:tc>
          <w:tcPr>
            <w:tcW w:w="676" w:type="dxa"/>
            <w:vMerge w:val="restart"/>
            <w:tcBorders>
              <w:left w:val="single" w:color="000000" w:sz="8" w:space="0"/>
              <w:bottom w:val="nil"/>
            </w:tcBorders>
            <w:vAlign w:val="top"/>
          </w:tcPr>
          <w:p>
            <w:pPr>
              <w:spacing w:before="279" w:line="267" w:lineRule="auto"/>
              <w:ind w:left="177" w:right="88" w:firstLine="2"/>
              <w:rPr>
                <w:rFonts w:ascii="仿宋" w:hAnsi="仿宋" w:eastAsia="仿宋" w:cs="仿宋"/>
                <w:sz w:val="20"/>
                <w:szCs w:val="20"/>
              </w:rPr>
            </w:pPr>
            <w:r>
              <w:rPr>
                <w:rFonts w:ascii="仿宋" w:hAnsi="仿宋" w:eastAsia="仿宋" w:cs="仿宋"/>
                <w:spacing w:val="-5"/>
                <w:sz w:val="20"/>
                <w:szCs w:val="20"/>
              </w:rPr>
              <w:t>级配</w:t>
            </w:r>
            <w:r>
              <w:rPr>
                <w:rFonts w:ascii="仿宋" w:hAnsi="仿宋" w:eastAsia="仿宋" w:cs="仿宋"/>
                <w:sz w:val="20"/>
                <w:szCs w:val="20"/>
              </w:rPr>
              <w:t xml:space="preserve"> </w:t>
            </w:r>
            <w:r>
              <w:rPr>
                <w:rFonts w:ascii="仿宋" w:hAnsi="仿宋" w:eastAsia="仿宋" w:cs="仿宋"/>
                <w:spacing w:val="-2"/>
                <w:sz w:val="20"/>
                <w:szCs w:val="20"/>
              </w:rPr>
              <w:t>类型</w:t>
            </w:r>
          </w:p>
        </w:tc>
        <w:tc>
          <w:tcPr>
            <w:tcW w:w="1310" w:type="dxa"/>
            <w:vMerge w:val="restart"/>
            <w:tcBorders>
              <w:bottom w:val="nil"/>
            </w:tcBorders>
            <w:vAlign w:val="top"/>
          </w:tcPr>
          <w:p>
            <w:pPr>
              <w:spacing w:line="430" w:lineRule="auto"/>
              <w:rPr>
                <w:rFonts w:ascii="Arial"/>
                <w:sz w:val="21"/>
              </w:rPr>
            </w:pPr>
          </w:p>
          <w:p>
            <w:pPr>
              <w:spacing w:before="65" w:line="229" w:lineRule="auto"/>
              <w:ind w:left="162"/>
              <w:rPr>
                <w:rFonts w:ascii="仿宋" w:hAnsi="仿宋" w:eastAsia="仿宋" w:cs="仿宋"/>
                <w:sz w:val="20"/>
                <w:szCs w:val="20"/>
              </w:rPr>
            </w:pPr>
            <w:r>
              <w:rPr>
                <w:rFonts w:ascii="仿宋" w:hAnsi="仿宋" w:eastAsia="仿宋" w:cs="仿宋"/>
                <w:spacing w:val="-2"/>
                <w:sz w:val="20"/>
                <w:szCs w:val="20"/>
              </w:rPr>
              <w:t>粒径</w:t>
            </w:r>
            <w:r>
              <w:rPr>
                <w:rFonts w:ascii="仿宋" w:hAnsi="仿宋" w:eastAsia="仿宋" w:cs="仿宋"/>
                <w:spacing w:val="61"/>
                <w:sz w:val="20"/>
                <w:szCs w:val="20"/>
              </w:rPr>
              <w:t xml:space="preserve"> </w:t>
            </w:r>
            <w:r>
              <w:rPr>
                <w:rFonts w:ascii="仿宋" w:hAnsi="仿宋" w:eastAsia="仿宋" w:cs="仿宋"/>
                <w:spacing w:val="-2"/>
                <w:sz w:val="20"/>
                <w:szCs w:val="20"/>
              </w:rPr>
              <w:t>(mm)</w:t>
            </w:r>
          </w:p>
        </w:tc>
        <w:tc>
          <w:tcPr>
            <w:tcW w:w="6956" w:type="dxa"/>
            <w:gridSpan w:val="7"/>
            <w:tcBorders>
              <w:right w:val="single" w:color="000000" w:sz="8" w:space="0"/>
            </w:tcBorders>
            <w:vAlign w:val="top"/>
          </w:tcPr>
          <w:p>
            <w:pPr>
              <w:spacing w:before="108" w:line="231" w:lineRule="auto"/>
              <w:ind w:left="2790"/>
              <w:rPr>
                <w:rFonts w:ascii="仿宋" w:hAnsi="仿宋" w:eastAsia="仿宋" w:cs="仿宋"/>
                <w:sz w:val="20"/>
                <w:szCs w:val="20"/>
              </w:rPr>
            </w:pPr>
            <w:r>
              <w:rPr>
                <w:rFonts w:ascii="仿宋" w:hAnsi="仿宋" w:eastAsia="仿宋" w:cs="仿宋"/>
                <w:spacing w:val="-1"/>
                <w:sz w:val="20"/>
                <w:szCs w:val="20"/>
              </w:rPr>
              <w:t>筛孔尺寸</w:t>
            </w:r>
            <w:r>
              <w:rPr>
                <w:rFonts w:ascii="仿宋" w:hAnsi="仿宋" w:eastAsia="仿宋" w:cs="仿宋"/>
                <w:spacing w:val="61"/>
                <w:sz w:val="20"/>
                <w:szCs w:val="20"/>
              </w:rPr>
              <w:t xml:space="preserve"> </w:t>
            </w:r>
            <w:r>
              <w:rPr>
                <w:rFonts w:ascii="仿宋" w:hAnsi="仿宋" w:eastAsia="仿宋" w:cs="仿宋"/>
                <w:spacing w:val="-1"/>
                <w:sz w:val="20"/>
                <w:szCs w:val="20"/>
              </w:rPr>
              <w:t>(圆孔)</w:t>
            </w:r>
            <w:r>
              <w:rPr>
                <w:rFonts w:ascii="仿宋" w:hAnsi="仿宋" w:eastAsia="仿宋" w:cs="仿宋"/>
                <w:spacing w:val="54"/>
                <w:sz w:val="20"/>
                <w:szCs w:val="20"/>
              </w:rPr>
              <w:t xml:space="preserve"> </w:t>
            </w:r>
            <w:r>
              <w:rPr>
                <w:rFonts w:ascii="仿宋" w:hAnsi="仿宋" w:eastAsia="仿宋" w:cs="仿宋"/>
                <w:spacing w:val="-1"/>
                <w:sz w:val="20"/>
                <w:szCs w:val="20"/>
              </w:rPr>
              <w:t>(mm)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trPr>
        <w:tc>
          <w:tcPr>
            <w:tcW w:w="676" w:type="dxa"/>
            <w:vMerge w:val="continue"/>
            <w:tcBorders>
              <w:top w:val="nil"/>
              <w:left w:val="single" w:color="000000" w:sz="8" w:space="0"/>
              <w:bottom w:val="nil"/>
            </w:tcBorders>
            <w:vAlign w:val="top"/>
          </w:tcPr>
          <w:p>
            <w:pPr>
              <w:rPr>
                <w:rFonts w:ascii="Arial"/>
                <w:sz w:val="21"/>
              </w:rPr>
            </w:pPr>
          </w:p>
        </w:tc>
        <w:tc>
          <w:tcPr>
            <w:tcW w:w="1310" w:type="dxa"/>
            <w:vMerge w:val="continue"/>
            <w:tcBorders>
              <w:top w:val="nil"/>
              <w:bottom w:val="nil"/>
            </w:tcBorders>
            <w:vAlign w:val="top"/>
          </w:tcPr>
          <w:p>
            <w:pPr>
              <w:rPr>
                <w:rFonts w:ascii="Arial"/>
                <w:sz w:val="21"/>
              </w:rPr>
            </w:pPr>
          </w:p>
        </w:tc>
        <w:tc>
          <w:tcPr>
            <w:tcW w:w="882" w:type="dxa"/>
            <w:vAlign w:val="top"/>
          </w:tcPr>
          <w:p>
            <w:pPr>
              <w:spacing w:before="116" w:line="187" w:lineRule="auto"/>
              <w:ind w:left="320"/>
              <w:rPr>
                <w:rFonts w:ascii="仿宋" w:hAnsi="仿宋" w:eastAsia="仿宋" w:cs="仿宋"/>
                <w:sz w:val="20"/>
                <w:szCs w:val="20"/>
              </w:rPr>
            </w:pPr>
            <w:r>
              <w:rPr>
                <w:rFonts w:ascii="仿宋" w:hAnsi="仿宋" w:eastAsia="仿宋" w:cs="仿宋"/>
                <w:sz w:val="20"/>
                <w:szCs w:val="20"/>
              </w:rPr>
              <w:t>31.5</w:t>
            </w:r>
          </w:p>
        </w:tc>
        <w:tc>
          <w:tcPr>
            <w:tcW w:w="818" w:type="dxa"/>
            <w:vAlign w:val="top"/>
          </w:tcPr>
          <w:p>
            <w:pPr>
              <w:spacing w:before="117" w:line="186" w:lineRule="auto"/>
              <w:ind w:left="286"/>
              <w:rPr>
                <w:rFonts w:ascii="仿宋" w:hAnsi="仿宋" w:eastAsia="仿宋" w:cs="仿宋"/>
                <w:sz w:val="20"/>
                <w:szCs w:val="20"/>
              </w:rPr>
            </w:pPr>
            <w:r>
              <w:rPr>
                <w:rFonts w:ascii="仿宋" w:hAnsi="仿宋" w:eastAsia="仿宋" w:cs="仿宋"/>
                <w:spacing w:val="1"/>
                <w:sz w:val="20"/>
                <w:szCs w:val="20"/>
              </w:rPr>
              <w:t>26.5</w:t>
            </w:r>
          </w:p>
        </w:tc>
        <w:tc>
          <w:tcPr>
            <w:tcW w:w="847" w:type="dxa"/>
            <w:vAlign w:val="top"/>
          </w:tcPr>
          <w:p>
            <w:pPr>
              <w:spacing w:before="116" w:line="187" w:lineRule="auto"/>
              <w:ind w:left="413"/>
              <w:rPr>
                <w:rFonts w:ascii="仿宋" w:hAnsi="仿宋" w:eastAsia="仿宋" w:cs="仿宋"/>
                <w:sz w:val="20"/>
                <w:szCs w:val="20"/>
              </w:rPr>
            </w:pPr>
            <w:r>
              <w:rPr>
                <w:rFonts w:ascii="仿宋" w:hAnsi="仿宋" w:eastAsia="仿宋" w:cs="仿宋"/>
                <w:spacing w:val="-8"/>
                <w:sz w:val="20"/>
                <w:szCs w:val="20"/>
              </w:rPr>
              <w:t>19</w:t>
            </w:r>
          </w:p>
        </w:tc>
        <w:tc>
          <w:tcPr>
            <w:tcW w:w="900" w:type="dxa"/>
            <w:vAlign w:val="top"/>
          </w:tcPr>
          <w:p>
            <w:pPr>
              <w:spacing w:before="116" w:line="187" w:lineRule="auto"/>
              <w:ind w:left="454"/>
              <w:rPr>
                <w:rFonts w:ascii="仿宋" w:hAnsi="仿宋" w:eastAsia="仿宋" w:cs="仿宋"/>
                <w:sz w:val="20"/>
                <w:szCs w:val="20"/>
              </w:rPr>
            </w:pPr>
            <w:r>
              <w:rPr>
                <w:rFonts w:ascii="仿宋" w:hAnsi="仿宋" w:eastAsia="仿宋" w:cs="仿宋"/>
                <w:spacing w:val="-9"/>
                <w:sz w:val="20"/>
                <w:szCs w:val="20"/>
              </w:rPr>
              <w:t>16</w:t>
            </w:r>
          </w:p>
        </w:tc>
        <w:tc>
          <w:tcPr>
            <w:tcW w:w="902" w:type="dxa"/>
            <w:vAlign w:val="top"/>
          </w:tcPr>
          <w:p>
            <w:pPr>
              <w:spacing w:before="117" w:line="186" w:lineRule="auto"/>
              <w:ind w:left="348"/>
              <w:rPr>
                <w:rFonts w:ascii="仿宋" w:hAnsi="仿宋" w:eastAsia="仿宋" w:cs="仿宋"/>
                <w:sz w:val="20"/>
                <w:szCs w:val="20"/>
              </w:rPr>
            </w:pPr>
            <w:r>
              <w:rPr>
                <w:rFonts w:ascii="仿宋" w:hAnsi="仿宋" w:eastAsia="仿宋" w:cs="仿宋"/>
                <w:sz w:val="20"/>
                <w:szCs w:val="20"/>
              </w:rPr>
              <w:t>9.50</w:t>
            </w:r>
          </w:p>
        </w:tc>
        <w:tc>
          <w:tcPr>
            <w:tcW w:w="1128" w:type="dxa"/>
            <w:vAlign w:val="top"/>
          </w:tcPr>
          <w:p>
            <w:pPr>
              <w:spacing w:before="117" w:line="186" w:lineRule="auto"/>
              <w:ind w:left="476"/>
              <w:rPr>
                <w:rFonts w:ascii="仿宋" w:hAnsi="仿宋" w:eastAsia="仿宋" w:cs="仿宋"/>
                <w:sz w:val="20"/>
                <w:szCs w:val="20"/>
              </w:rPr>
            </w:pPr>
            <w:r>
              <w:rPr>
                <w:rFonts w:ascii="仿宋" w:hAnsi="仿宋" w:eastAsia="仿宋" w:cs="仿宋"/>
                <w:spacing w:val="2"/>
                <w:sz w:val="20"/>
                <w:szCs w:val="20"/>
              </w:rPr>
              <w:t>4.75</w:t>
            </w:r>
          </w:p>
        </w:tc>
        <w:tc>
          <w:tcPr>
            <w:tcW w:w="1479" w:type="dxa"/>
            <w:tcBorders>
              <w:right w:val="single" w:color="000000" w:sz="8" w:space="0"/>
            </w:tcBorders>
            <w:vAlign w:val="top"/>
          </w:tcPr>
          <w:p>
            <w:pPr>
              <w:spacing w:before="117" w:line="186" w:lineRule="auto"/>
              <w:ind w:left="667"/>
              <w:rPr>
                <w:rFonts w:ascii="仿宋" w:hAnsi="仿宋" w:eastAsia="仿宋" w:cs="仿宋"/>
                <w:sz w:val="20"/>
                <w:szCs w:val="20"/>
              </w:rPr>
            </w:pPr>
            <w:r>
              <w:rPr>
                <w:rFonts w:ascii="仿宋" w:hAnsi="仿宋" w:eastAsia="仿宋" w:cs="仿宋"/>
                <w:spacing w:val="1"/>
                <w:sz w:val="20"/>
                <w:szCs w:val="20"/>
              </w:rPr>
              <w:t>2.36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trPr>
        <w:tc>
          <w:tcPr>
            <w:tcW w:w="676" w:type="dxa"/>
            <w:vMerge w:val="continue"/>
            <w:tcBorders>
              <w:top w:val="nil"/>
              <w:left w:val="single" w:color="000000" w:sz="8" w:space="0"/>
            </w:tcBorders>
            <w:vAlign w:val="top"/>
          </w:tcPr>
          <w:p>
            <w:pPr>
              <w:rPr>
                <w:rFonts w:ascii="Arial"/>
                <w:sz w:val="21"/>
              </w:rPr>
            </w:pPr>
          </w:p>
        </w:tc>
        <w:tc>
          <w:tcPr>
            <w:tcW w:w="1310" w:type="dxa"/>
            <w:vMerge w:val="continue"/>
            <w:tcBorders>
              <w:top w:val="nil"/>
            </w:tcBorders>
            <w:vAlign w:val="top"/>
          </w:tcPr>
          <w:p>
            <w:pPr>
              <w:rPr>
                <w:rFonts w:ascii="Arial"/>
                <w:sz w:val="21"/>
              </w:rPr>
            </w:pPr>
          </w:p>
        </w:tc>
        <w:tc>
          <w:tcPr>
            <w:tcW w:w="6956" w:type="dxa"/>
            <w:gridSpan w:val="7"/>
            <w:tcBorders>
              <w:right w:val="single" w:color="000000" w:sz="8" w:space="0"/>
            </w:tcBorders>
            <w:vAlign w:val="top"/>
          </w:tcPr>
          <w:p>
            <w:pPr>
              <w:spacing w:before="66" w:line="229" w:lineRule="auto"/>
              <w:ind w:left="2552"/>
              <w:rPr>
                <w:rFonts w:ascii="仿宋" w:hAnsi="仿宋" w:eastAsia="仿宋" w:cs="仿宋"/>
                <w:sz w:val="20"/>
                <w:szCs w:val="20"/>
              </w:rPr>
            </w:pPr>
            <w:r>
              <w:rPr>
                <w:rFonts w:ascii="仿宋" w:hAnsi="仿宋" w:eastAsia="仿宋" w:cs="仿宋"/>
                <w:spacing w:val="-1"/>
                <w:sz w:val="20"/>
                <w:szCs w:val="20"/>
              </w:rPr>
              <w:t>通过百分率</w:t>
            </w:r>
            <w:r>
              <w:rPr>
                <w:rFonts w:ascii="仿宋" w:hAnsi="仿宋" w:eastAsia="仿宋" w:cs="仿宋"/>
                <w:spacing w:val="56"/>
                <w:sz w:val="20"/>
                <w:szCs w:val="20"/>
              </w:rPr>
              <w:t xml:space="preserve"> </w:t>
            </w:r>
            <w:r>
              <w:rPr>
                <w:rFonts w:ascii="仿宋" w:hAnsi="仿宋" w:eastAsia="仿宋" w:cs="仿宋"/>
                <w:spacing w:val="-1"/>
                <w:sz w:val="20"/>
                <w:szCs w:val="20"/>
              </w:rPr>
              <w:t>(以质量计)</w:t>
            </w:r>
            <w:r>
              <w:rPr>
                <w:rFonts w:ascii="仿宋" w:hAnsi="仿宋" w:eastAsia="仿宋" w:cs="仿宋"/>
                <w:spacing w:val="49"/>
                <w:sz w:val="20"/>
                <w:szCs w:val="20"/>
              </w:rPr>
              <w:t xml:space="preserve"> </w:t>
            </w:r>
            <w:r>
              <w:rPr>
                <w:rFonts w:ascii="仿宋" w:hAnsi="仿宋" w:eastAsia="仿宋" w:cs="仿宋"/>
                <w:spacing w:val="-1"/>
                <w:sz w:val="20"/>
                <w:szCs w:val="20"/>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8" w:hRule="atLeast"/>
        </w:trPr>
        <w:tc>
          <w:tcPr>
            <w:tcW w:w="676" w:type="dxa"/>
            <w:tcBorders>
              <w:left w:val="single" w:color="000000" w:sz="8" w:space="0"/>
            </w:tcBorders>
            <w:vAlign w:val="top"/>
          </w:tcPr>
          <w:p>
            <w:pPr>
              <w:spacing w:before="52" w:line="268" w:lineRule="auto"/>
              <w:ind w:left="180" w:right="88" w:firstLine="3"/>
              <w:rPr>
                <w:rFonts w:ascii="仿宋" w:hAnsi="仿宋" w:eastAsia="仿宋" w:cs="仿宋"/>
                <w:sz w:val="20"/>
                <w:szCs w:val="20"/>
              </w:rPr>
            </w:pPr>
            <w:r>
              <w:rPr>
                <w:rFonts w:ascii="仿宋" w:hAnsi="仿宋" w:eastAsia="仿宋" w:cs="仿宋"/>
                <w:spacing w:val="-5"/>
                <w:sz w:val="20"/>
                <w:szCs w:val="20"/>
              </w:rPr>
              <w:t>合成</w:t>
            </w:r>
            <w:r>
              <w:rPr>
                <w:rFonts w:ascii="仿宋" w:hAnsi="仿宋" w:eastAsia="仿宋" w:cs="仿宋"/>
                <w:sz w:val="20"/>
                <w:szCs w:val="20"/>
              </w:rPr>
              <w:t xml:space="preserve"> </w:t>
            </w:r>
            <w:r>
              <w:rPr>
                <w:rFonts w:ascii="仿宋" w:hAnsi="仿宋" w:eastAsia="仿宋" w:cs="仿宋"/>
                <w:spacing w:val="-4"/>
                <w:sz w:val="20"/>
                <w:szCs w:val="20"/>
              </w:rPr>
              <w:t>级配</w:t>
            </w:r>
          </w:p>
        </w:tc>
        <w:tc>
          <w:tcPr>
            <w:tcW w:w="1310" w:type="dxa"/>
            <w:vAlign w:val="top"/>
          </w:tcPr>
          <w:p>
            <w:pPr>
              <w:spacing w:before="241" w:line="229" w:lineRule="auto"/>
              <w:ind w:left="262" w:right="135" w:hanging="5"/>
              <w:rPr>
                <w:rFonts w:ascii="仿宋" w:hAnsi="仿宋" w:eastAsia="仿宋" w:cs="仿宋"/>
                <w:sz w:val="20"/>
                <w:szCs w:val="20"/>
              </w:rPr>
            </w:pPr>
            <w:r>
              <w:rPr>
                <w:rFonts w:ascii="仿宋" w:hAnsi="仿宋" w:eastAsia="仿宋" w:cs="仿宋"/>
                <w:spacing w:val="13"/>
                <w:sz w:val="20"/>
                <w:szCs w:val="20"/>
              </w:rPr>
              <w:t>4.75~31.</w:t>
            </w:r>
            <w:r>
              <w:rPr>
                <w:rFonts w:ascii="仿宋" w:hAnsi="仿宋" w:eastAsia="仿宋" w:cs="仿宋"/>
                <w:spacing w:val="6"/>
                <w:sz w:val="20"/>
                <w:szCs w:val="20"/>
              </w:rPr>
              <w:t xml:space="preserve"> </w:t>
            </w:r>
            <w:r>
              <w:rPr>
                <w:rFonts w:ascii="仿宋" w:hAnsi="仿宋" w:eastAsia="仿宋" w:cs="仿宋"/>
                <w:sz w:val="20"/>
                <w:szCs w:val="20"/>
              </w:rPr>
              <w:t>5</w:t>
            </w:r>
          </w:p>
        </w:tc>
        <w:tc>
          <w:tcPr>
            <w:tcW w:w="882" w:type="dxa"/>
            <w:vAlign w:val="top"/>
          </w:tcPr>
          <w:p>
            <w:pPr>
              <w:spacing w:before="241" w:line="37" w:lineRule="exact"/>
              <w:ind w:left="424"/>
              <w:rPr>
                <w:rFonts w:ascii="仿宋" w:hAnsi="仿宋" w:eastAsia="仿宋" w:cs="仿宋"/>
                <w:sz w:val="20"/>
                <w:szCs w:val="20"/>
              </w:rPr>
            </w:pPr>
            <w:r>
              <w:rPr>
                <w:rFonts w:ascii="仿宋" w:hAnsi="仿宋" w:eastAsia="仿宋" w:cs="仿宋"/>
                <w:position w:val="-14"/>
                <w:sz w:val="20"/>
                <w:szCs w:val="20"/>
              </w:rPr>
              <w:t>~</w:t>
            </w:r>
          </w:p>
          <w:p>
            <w:pPr>
              <w:spacing w:before="1" w:line="181" w:lineRule="auto"/>
              <w:ind w:left="292"/>
              <w:rPr>
                <w:rFonts w:ascii="仿宋" w:hAnsi="仿宋" w:eastAsia="仿宋" w:cs="仿宋"/>
                <w:sz w:val="20"/>
                <w:szCs w:val="20"/>
              </w:rPr>
            </w:pPr>
            <w:r>
              <w:rPr>
                <w:rFonts w:ascii="仿宋" w:hAnsi="仿宋" w:eastAsia="仿宋" w:cs="仿宋"/>
                <w:spacing w:val="-3"/>
                <w:sz w:val="20"/>
                <w:szCs w:val="20"/>
              </w:rPr>
              <w:t>0</w:t>
            </w:r>
            <w:r>
              <w:rPr>
                <w:rFonts w:ascii="仿宋" w:hAnsi="仿宋" w:eastAsia="仿宋" w:cs="仿宋"/>
                <w:spacing w:val="78"/>
                <w:sz w:val="20"/>
                <w:szCs w:val="20"/>
              </w:rPr>
              <w:t xml:space="preserve"> </w:t>
            </w:r>
            <w:r>
              <w:rPr>
                <w:rFonts w:ascii="仿宋" w:hAnsi="仿宋" w:eastAsia="仿宋" w:cs="仿宋"/>
                <w:spacing w:val="-3"/>
                <w:sz w:val="20"/>
                <w:szCs w:val="20"/>
              </w:rPr>
              <w:t>5</w:t>
            </w:r>
          </w:p>
        </w:tc>
        <w:tc>
          <w:tcPr>
            <w:tcW w:w="818" w:type="dxa"/>
            <w:vAlign w:val="top"/>
          </w:tcPr>
          <w:p>
            <w:pPr>
              <w:spacing w:before="241" w:line="37" w:lineRule="exact"/>
              <w:ind w:left="399"/>
              <w:rPr>
                <w:rFonts w:ascii="仿宋" w:hAnsi="仿宋" w:eastAsia="仿宋" w:cs="仿宋"/>
                <w:sz w:val="20"/>
                <w:szCs w:val="20"/>
              </w:rPr>
            </w:pPr>
            <w:r>
              <w:rPr>
                <w:rFonts w:ascii="仿宋" w:hAnsi="仿宋" w:eastAsia="仿宋" w:cs="仿宋"/>
                <w:position w:val="-14"/>
                <w:sz w:val="20"/>
                <w:szCs w:val="20"/>
              </w:rPr>
              <w:t>~</w:t>
            </w:r>
          </w:p>
          <w:p>
            <w:pPr>
              <w:spacing w:before="1" w:line="181" w:lineRule="auto"/>
              <w:ind w:left="154"/>
              <w:rPr>
                <w:rFonts w:ascii="仿宋" w:hAnsi="仿宋" w:eastAsia="仿宋" w:cs="仿宋"/>
                <w:sz w:val="20"/>
                <w:szCs w:val="20"/>
              </w:rPr>
            </w:pPr>
            <w:r>
              <w:rPr>
                <w:rFonts w:ascii="仿宋" w:hAnsi="仿宋" w:eastAsia="仿宋" w:cs="仿宋"/>
                <w:spacing w:val="9"/>
                <w:sz w:val="20"/>
                <w:szCs w:val="20"/>
              </w:rPr>
              <w:t>20</w:t>
            </w:r>
            <w:r>
              <w:rPr>
                <w:rFonts w:ascii="仿宋" w:hAnsi="仿宋" w:eastAsia="仿宋" w:cs="仿宋"/>
                <w:spacing w:val="61"/>
                <w:sz w:val="20"/>
                <w:szCs w:val="20"/>
              </w:rPr>
              <w:t xml:space="preserve"> </w:t>
            </w:r>
            <w:r>
              <w:rPr>
                <w:rFonts w:ascii="仿宋" w:hAnsi="仿宋" w:eastAsia="仿宋" w:cs="仿宋"/>
                <w:spacing w:val="9"/>
                <w:sz w:val="20"/>
                <w:szCs w:val="20"/>
              </w:rPr>
              <w:t>35</w:t>
            </w:r>
          </w:p>
        </w:tc>
        <w:tc>
          <w:tcPr>
            <w:tcW w:w="847" w:type="dxa"/>
            <w:vAlign w:val="top"/>
          </w:tcPr>
          <w:p>
            <w:pPr>
              <w:spacing w:before="241" w:line="37" w:lineRule="exact"/>
              <w:ind w:left="416"/>
              <w:rPr>
                <w:rFonts w:ascii="仿宋" w:hAnsi="仿宋" w:eastAsia="仿宋" w:cs="仿宋"/>
                <w:sz w:val="20"/>
                <w:szCs w:val="20"/>
              </w:rPr>
            </w:pPr>
            <w:r>
              <w:rPr>
                <w:rFonts w:ascii="仿宋" w:hAnsi="仿宋" w:eastAsia="仿宋" w:cs="仿宋"/>
                <w:position w:val="-14"/>
                <w:sz w:val="20"/>
                <w:szCs w:val="20"/>
              </w:rPr>
              <w:t>~</w:t>
            </w:r>
          </w:p>
          <w:p>
            <w:pPr>
              <w:spacing w:before="1" w:line="181" w:lineRule="auto"/>
              <w:ind w:left="168"/>
              <w:rPr>
                <w:rFonts w:ascii="仿宋" w:hAnsi="仿宋" w:eastAsia="仿宋" w:cs="仿宋"/>
                <w:sz w:val="20"/>
                <w:szCs w:val="20"/>
              </w:rPr>
            </w:pPr>
            <w:r>
              <w:rPr>
                <w:rFonts w:ascii="仿宋" w:hAnsi="仿宋" w:eastAsia="仿宋" w:cs="仿宋"/>
                <w:spacing w:val="10"/>
                <w:sz w:val="20"/>
                <w:szCs w:val="20"/>
              </w:rPr>
              <w:t>40</w:t>
            </w:r>
            <w:r>
              <w:rPr>
                <w:rFonts w:ascii="仿宋" w:hAnsi="仿宋" w:eastAsia="仿宋" w:cs="仿宋"/>
                <w:spacing w:val="56"/>
                <w:sz w:val="20"/>
                <w:szCs w:val="20"/>
              </w:rPr>
              <w:t xml:space="preserve"> </w:t>
            </w:r>
            <w:r>
              <w:rPr>
                <w:rFonts w:ascii="仿宋" w:hAnsi="仿宋" w:eastAsia="仿宋" w:cs="仿宋"/>
                <w:spacing w:val="10"/>
                <w:sz w:val="20"/>
                <w:szCs w:val="20"/>
              </w:rPr>
              <w:t>60</w:t>
            </w:r>
          </w:p>
        </w:tc>
        <w:tc>
          <w:tcPr>
            <w:tcW w:w="900" w:type="dxa"/>
            <w:vAlign w:val="top"/>
          </w:tcPr>
          <w:p>
            <w:pPr>
              <w:spacing w:before="241" w:line="37" w:lineRule="exact"/>
              <w:ind w:left="457"/>
              <w:rPr>
                <w:rFonts w:ascii="仿宋" w:hAnsi="仿宋" w:eastAsia="仿宋" w:cs="仿宋"/>
                <w:sz w:val="20"/>
                <w:szCs w:val="20"/>
              </w:rPr>
            </w:pPr>
            <w:r>
              <w:rPr>
                <w:rFonts w:ascii="仿宋" w:hAnsi="仿宋" w:eastAsia="仿宋" w:cs="仿宋"/>
                <w:position w:val="-14"/>
                <w:sz w:val="20"/>
                <w:szCs w:val="20"/>
              </w:rPr>
              <w:t>~</w:t>
            </w:r>
          </w:p>
          <w:p>
            <w:pPr>
              <w:spacing w:before="1" w:line="181" w:lineRule="auto"/>
              <w:ind w:left="212"/>
              <w:rPr>
                <w:rFonts w:ascii="仿宋" w:hAnsi="仿宋" w:eastAsia="仿宋" w:cs="仿宋"/>
                <w:sz w:val="20"/>
                <w:szCs w:val="20"/>
              </w:rPr>
            </w:pPr>
            <w:r>
              <w:rPr>
                <w:rFonts w:ascii="仿宋" w:hAnsi="仿宋" w:eastAsia="仿宋" w:cs="仿宋"/>
                <w:spacing w:val="9"/>
                <w:sz w:val="20"/>
                <w:szCs w:val="20"/>
              </w:rPr>
              <w:t>60</w:t>
            </w:r>
            <w:r>
              <w:rPr>
                <w:rFonts w:ascii="仿宋" w:hAnsi="仿宋" w:eastAsia="仿宋" w:cs="仿宋"/>
                <w:spacing w:val="57"/>
                <w:sz w:val="20"/>
                <w:szCs w:val="20"/>
              </w:rPr>
              <w:t xml:space="preserve"> </w:t>
            </w:r>
            <w:r>
              <w:rPr>
                <w:rFonts w:ascii="仿宋" w:hAnsi="仿宋" w:eastAsia="仿宋" w:cs="仿宋"/>
                <w:spacing w:val="9"/>
                <w:sz w:val="20"/>
                <w:szCs w:val="20"/>
              </w:rPr>
              <w:t>75</w:t>
            </w:r>
          </w:p>
        </w:tc>
        <w:tc>
          <w:tcPr>
            <w:tcW w:w="902" w:type="dxa"/>
            <w:vAlign w:val="top"/>
          </w:tcPr>
          <w:p>
            <w:pPr>
              <w:spacing w:before="241" w:line="37" w:lineRule="exact"/>
              <w:ind w:left="460"/>
              <w:rPr>
                <w:rFonts w:ascii="仿宋" w:hAnsi="仿宋" w:eastAsia="仿宋" w:cs="仿宋"/>
                <w:sz w:val="20"/>
                <w:szCs w:val="20"/>
              </w:rPr>
            </w:pPr>
            <w:r>
              <w:rPr>
                <w:rFonts w:ascii="仿宋" w:hAnsi="仿宋" w:eastAsia="仿宋" w:cs="仿宋"/>
                <w:position w:val="-14"/>
                <w:sz w:val="20"/>
                <w:szCs w:val="20"/>
              </w:rPr>
              <w:t>~</w:t>
            </w:r>
          </w:p>
          <w:p>
            <w:pPr>
              <w:spacing w:before="1" w:line="181" w:lineRule="auto"/>
              <w:ind w:left="220"/>
              <w:rPr>
                <w:rFonts w:ascii="仿宋" w:hAnsi="仿宋" w:eastAsia="仿宋" w:cs="仿宋"/>
                <w:sz w:val="20"/>
                <w:szCs w:val="20"/>
              </w:rPr>
            </w:pPr>
            <w:r>
              <w:rPr>
                <w:rFonts w:ascii="仿宋" w:hAnsi="仿宋" w:eastAsia="仿宋" w:cs="仿宋"/>
                <w:spacing w:val="8"/>
                <w:sz w:val="20"/>
                <w:szCs w:val="20"/>
              </w:rPr>
              <w:t>75</w:t>
            </w:r>
            <w:r>
              <w:rPr>
                <w:rFonts w:ascii="仿宋" w:hAnsi="仿宋" w:eastAsia="仿宋" w:cs="仿宋"/>
                <w:spacing w:val="55"/>
                <w:sz w:val="20"/>
                <w:szCs w:val="20"/>
              </w:rPr>
              <w:t xml:space="preserve"> </w:t>
            </w:r>
            <w:r>
              <w:rPr>
                <w:rFonts w:ascii="仿宋" w:hAnsi="仿宋" w:eastAsia="仿宋" w:cs="仿宋"/>
                <w:spacing w:val="8"/>
                <w:sz w:val="20"/>
                <w:szCs w:val="20"/>
              </w:rPr>
              <w:t>90</w:t>
            </w:r>
          </w:p>
        </w:tc>
        <w:tc>
          <w:tcPr>
            <w:tcW w:w="1128" w:type="dxa"/>
            <w:vAlign w:val="top"/>
          </w:tcPr>
          <w:p>
            <w:pPr>
              <w:spacing w:before="241" w:line="36" w:lineRule="exact"/>
              <w:ind w:left="537"/>
              <w:rPr>
                <w:rFonts w:ascii="仿宋" w:hAnsi="仿宋" w:eastAsia="仿宋" w:cs="仿宋"/>
                <w:sz w:val="20"/>
                <w:szCs w:val="20"/>
              </w:rPr>
            </w:pPr>
            <w:r>
              <w:rPr>
                <w:rFonts w:ascii="仿宋" w:hAnsi="仿宋" w:eastAsia="仿宋" w:cs="仿宋"/>
                <w:position w:val="-14"/>
                <w:sz w:val="20"/>
                <w:szCs w:val="20"/>
              </w:rPr>
              <w:t>~</w:t>
            </w:r>
          </w:p>
          <w:p>
            <w:pPr>
              <w:spacing w:line="182" w:lineRule="auto"/>
              <w:ind w:left="298"/>
              <w:rPr>
                <w:rFonts w:ascii="仿宋" w:hAnsi="仿宋" w:eastAsia="仿宋" w:cs="仿宋"/>
                <w:sz w:val="20"/>
                <w:szCs w:val="20"/>
              </w:rPr>
            </w:pPr>
            <w:r>
              <w:rPr>
                <w:rFonts w:ascii="仿宋" w:hAnsi="仿宋" w:eastAsia="仿宋" w:cs="仿宋"/>
                <w:spacing w:val="8"/>
                <w:sz w:val="20"/>
                <w:szCs w:val="20"/>
              </w:rPr>
              <w:t>90</w:t>
            </w:r>
            <w:r>
              <w:rPr>
                <w:rFonts w:ascii="仿宋" w:hAnsi="仿宋" w:eastAsia="仿宋" w:cs="仿宋"/>
                <w:spacing w:val="57"/>
                <w:sz w:val="20"/>
                <w:szCs w:val="20"/>
              </w:rPr>
              <w:t xml:space="preserve"> </w:t>
            </w:r>
            <w:r>
              <w:rPr>
                <w:rFonts w:ascii="仿宋" w:hAnsi="仿宋" w:eastAsia="仿宋" w:cs="仿宋"/>
                <w:spacing w:val="8"/>
                <w:sz w:val="20"/>
                <w:szCs w:val="20"/>
              </w:rPr>
              <w:t>100</w:t>
            </w:r>
          </w:p>
        </w:tc>
        <w:tc>
          <w:tcPr>
            <w:tcW w:w="1479" w:type="dxa"/>
            <w:tcBorders>
              <w:right w:val="single" w:color="000000" w:sz="8" w:space="0"/>
            </w:tcBorders>
            <w:vAlign w:val="top"/>
          </w:tcPr>
          <w:p>
            <w:pPr>
              <w:spacing w:before="241" w:line="36" w:lineRule="exact"/>
              <w:ind w:left="727"/>
              <w:rPr>
                <w:rFonts w:ascii="仿宋" w:hAnsi="仿宋" w:eastAsia="仿宋" w:cs="仿宋"/>
                <w:sz w:val="20"/>
                <w:szCs w:val="20"/>
              </w:rPr>
            </w:pPr>
            <w:r>
              <w:rPr>
                <w:rFonts w:ascii="仿宋" w:hAnsi="仿宋" w:eastAsia="仿宋" w:cs="仿宋"/>
                <w:position w:val="-14"/>
                <w:sz w:val="20"/>
                <w:szCs w:val="20"/>
              </w:rPr>
              <w:t>~</w:t>
            </w:r>
          </w:p>
          <w:p>
            <w:pPr>
              <w:spacing w:line="182" w:lineRule="auto"/>
              <w:ind w:left="485"/>
              <w:rPr>
                <w:rFonts w:ascii="仿宋" w:hAnsi="仿宋" w:eastAsia="仿宋" w:cs="仿宋"/>
                <w:sz w:val="20"/>
                <w:szCs w:val="20"/>
              </w:rPr>
            </w:pPr>
            <w:r>
              <w:rPr>
                <w:rFonts w:ascii="仿宋" w:hAnsi="仿宋" w:eastAsia="仿宋" w:cs="仿宋"/>
                <w:spacing w:val="9"/>
                <w:sz w:val="20"/>
                <w:szCs w:val="20"/>
              </w:rPr>
              <w:t>95</w:t>
            </w:r>
            <w:r>
              <w:rPr>
                <w:rFonts w:ascii="仿宋" w:hAnsi="仿宋" w:eastAsia="仿宋" w:cs="仿宋"/>
                <w:spacing w:val="55"/>
                <w:sz w:val="20"/>
                <w:szCs w:val="20"/>
              </w:rPr>
              <w:t xml:space="preserve"> </w:t>
            </w:r>
            <w:r>
              <w:rPr>
                <w:rFonts w:ascii="仿宋" w:hAnsi="仿宋" w:eastAsia="仿宋" w:cs="仿宋"/>
                <w:spacing w:val="9"/>
                <w:sz w:val="20"/>
                <w:szCs w:val="20"/>
              </w:rPr>
              <w:t>100</w:t>
            </w:r>
          </w:p>
        </w:tc>
      </w:tr>
    </w:tbl>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525" w:name="_Toc26544"/>
      <w:bookmarkStart w:id="526" w:name="_Toc8481"/>
      <w:bookmarkStart w:id="527" w:name="_Toc32130"/>
      <w:bookmarkStart w:id="528" w:name="_Toc2753"/>
      <w:bookmarkStart w:id="529" w:name="_Toc6618"/>
      <w:r>
        <w:rPr>
          <w:rFonts w:hint="eastAsia" w:asciiTheme="minorEastAsia" w:hAnsiTheme="minorEastAsia" w:eastAsiaTheme="minorEastAsia" w:cstheme="minorEastAsia"/>
          <w:sz w:val="24"/>
          <w:lang w:val="en-US" w:eastAsia="zh-CN"/>
        </w:rPr>
        <w:t>(3) 细集料</w:t>
      </w:r>
      <w:bookmarkEnd w:id="525"/>
      <w:bookmarkEnd w:id="526"/>
      <w:bookmarkEnd w:id="527"/>
      <w:bookmarkEnd w:id="528"/>
      <w:bookmarkEnd w:id="52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细集料应采用质地坚硬、耐久、洁净的天然砂、机制砂或混合砂 , 技术要求符合下表的规 定。宜使用中砂，也可以使用细度模数不小于2.5的砂。其硅质砂或石英砂的含量不宜低于 25%。</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使用机制砂除应符合下表的规定。</w:t>
      </w:r>
    </w:p>
    <w:p>
      <w:pPr>
        <w:spacing w:line="24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细集料技术要求                                 表 7-4</w:t>
      </w:r>
    </w:p>
    <w:p>
      <w:pPr>
        <w:spacing w:before="76"/>
      </w:pPr>
    </w:p>
    <w:tbl>
      <w:tblPr>
        <w:tblStyle w:val="23"/>
        <w:tblW w:w="8442" w:type="dxa"/>
        <w:tblInd w:w="14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275"/>
        <w:gridCol w:w="316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5275" w:type="dxa"/>
            <w:tcBorders>
              <w:left w:val="single" w:color="000000" w:sz="8" w:space="0"/>
            </w:tcBorders>
            <w:vAlign w:val="top"/>
          </w:tcPr>
          <w:p>
            <w:pPr>
              <w:spacing w:before="102" w:line="232" w:lineRule="auto"/>
              <w:ind w:left="2763"/>
              <w:rPr>
                <w:rFonts w:ascii="仿宋" w:hAnsi="仿宋" w:eastAsia="仿宋" w:cs="仿宋"/>
                <w:sz w:val="20"/>
                <w:szCs w:val="20"/>
              </w:rPr>
            </w:pPr>
            <w:r>
              <w:rPr>
                <w:rFonts w:ascii="仿宋" w:hAnsi="仿宋" w:eastAsia="仿宋" w:cs="仿宋"/>
                <w:spacing w:val="-3"/>
                <w:sz w:val="20"/>
                <w:szCs w:val="20"/>
              </w:rPr>
              <w:t>项</w:t>
            </w:r>
            <w:r>
              <w:rPr>
                <w:rFonts w:ascii="仿宋" w:hAnsi="仿宋" w:eastAsia="仿宋" w:cs="仿宋"/>
                <w:spacing w:val="7"/>
                <w:sz w:val="20"/>
                <w:szCs w:val="20"/>
              </w:rPr>
              <w:t xml:space="preserve">     </w:t>
            </w:r>
            <w:r>
              <w:rPr>
                <w:rFonts w:ascii="仿宋" w:hAnsi="仿宋" w:eastAsia="仿宋" w:cs="仿宋"/>
                <w:spacing w:val="-3"/>
                <w:sz w:val="20"/>
                <w:szCs w:val="20"/>
              </w:rPr>
              <w:t>目</w:t>
            </w:r>
          </w:p>
        </w:tc>
        <w:tc>
          <w:tcPr>
            <w:tcW w:w="3167" w:type="dxa"/>
            <w:tcBorders>
              <w:right w:val="single" w:color="000000" w:sz="8" w:space="0"/>
            </w:tcBorders>
            <w:vAlign w:val="top"/>
          </w:tcPr>
          <w:p>
            <w:pPr>
              <w:spacing w:before="102" w:line="231" w:lineRule="auto"/>
              <w:ind w:left="1343"/>
              <w:rPr>
                <w:rFonts w:ascii="仿宋" w:hAnsi="仿宋" w:eastAsia="仿宋" w:cs="仿宋"/>
                <w:sz w:val="20"/>
                <w:szCs w:val="20"/>
              </w:rPr>
            </w:pPr>
            <w:r>
              <w:rPr>
                <w:rFonts w:ascii="仿宋" w:hAnsi="仿宋" w:eastAsia="仿宋" w:cs="仿宋"/>
                <w:spacing w:val="-6"/>
                <w:sz w:val="20"/>
                <w:szCs w:val="20"/>
              </w:rPr>
              <w:t>技</w:t>
            </w:r>
            <w:r>
              <w:rPr>
                <w:rFonts w:ascii="仿宋" w:hAnsi="仿宋" w:eastAsia="仿宋" w:cs="仿宋"/>
                <w:spacing w:val="25"/>
                <w:sz w:val="20"/>
                <w:szCs w:val="20"/>
              </w:rPr>
              <w:t xml:space="preserve"> </w:t>
            </w:r>
            <w:r>
              <w:rPr>
                <w:rFonts w:ascii="仿宋" w:hAnsi="仿宋" w:eastAsia="仿宋" w:cs="仿宋"/>
                <w:spacing w:val="-6"/>
                <w:sz w:val="20"/>
                <w:szCs w:val="20"/>
              </w:rPr>
              <w:t>术</w:t>
            </w:r>
            <w:r>
              <w:rPr>
                <w:rFonts w:ascii="仿宋" w:hAnsi="仿宋" w:eastAsia="仿宋" w:cs="仿宋"/>
                <w:spacing w:val="25"/>
                <w:sz w:val="20"/>
                <w:szCs w:val="20"/>
              </w:rPr>
              <w:t xml:space="preserve"> </w:t>
            </w:r>
            <w:r>
              <w:rPr>
                <w:rFonts w:ascii="仿宋" w:hAnsi="仿宋" w:eastAsia="仿宋" w:cs="仿宋"/>
                <w:spacing w:val="-6"/>
                <w:sz w:val="20"/>
                <w:szCs w:val="20"/>
              </w:rPr>
              <w:t>要</w:t>
            </w:r>
            <w:r>
              <w:rPr>
                <w:rFonts w:ascii="仿宋" w:hAnsi="仿宋" w:eastAsia="仿宋" w:cs="仿宋"/>
                <w:spacing w:val="26"/>
                <w:sz w:val="20"/>
                <w:szCs w:val="20"/>
              </w:rPr>
              <w:t xml:space="preserve"> </w:t>
            </w:r>
            <w:r>
              <w:rPr>
                <w:rFonts w:ascii="仿宋" w:hAnsi="仿宋" w:eastAsia="仿宋" w:cs="仿宋"/>
                <w:spacing w:val="-6"/>
                <w:sz w:val="20"/>
                <w:szCs w:val="20"/>
              </w:rPr>
              <w:t>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6" w:hRule="atLeast"/>
        </w:trPr>
        <w:tc>
          <w:tcPr>
            <w:tcW w:w="5275" w:type="dxa"/>
            <w:tcBorders>
              <w:left w:val="single" w:color="000000" w:sz="8" w:space="0"/>
            </w:tcBorders>
            <w:vAlign w:val="top"/>
          </w:tcPr>
          <w:p>
            <w:pPr>
              <w:spacing w:before="77" w:line="229" w:lineRule="auto"/>
              <w:ind w:left="2756"/>
              <w:rPr>
                <w:rFonts w:ascii="仿宋" w:hAnsi="仿宋" w:eastAsia="仿宋" w:cs="仿宋"/>
                <w:sz w:val="20"/>
                <w:szCs w:val="20"/>
              </w:rPr>
            </w:pPr>
            <w:r>
              <w:rPr>
                <w:rFonts w:ascii="仿宋" w:hAnsi="仿宋" w:eastAsia="仿宋" w:cs="仿宋"/>
                <w:spacing w:val="4"/>
                <w:sz w:val="20"/>
                <w:szCs w:val="20"/>
              </w:rPr>
              <w:t>颗粒级配</w:t>
            </w:r>
          </w:p>
        </w:tc>
        <w:tc>
          <w:tcPr>
            <w:tcW w:w="3167" w:type="dxa"/>
            <w:tcBorders>
              <w:right w:val="single" w:color="000000" w:sz="8" w:space="0"/>
            </w:tcBorders>
            <w:vAlign w:val="top"/>
          </w:tcPr>
          <w:p>
            <w:pPr>
              <w:spacing w:before="77" w:line="232" w:lineRule="auto"/>
              <w:ind w:left="1391"/>
              <w:rPr>
                <w:rFonts w:ascii="仿宋" w:hAnsi="仿宋" w:eastAsia="仿宋" w:cs="仿宋"/>
                <w:sz w:val="20"/>
                <w:szCs w:val="20"/>
              </w:rPr>
            </w:pPr>
            <w:r>
              <w:rPr>
                <w:rFonts w:ascii="仿宋" w:hAnsi="仿宋" w:eastAsia="仿宋" w:cs="仿宋"/>
                <w:spacing w:val="-9"/>
                <w:sz w:val="20"/>
                <w:szCs w:val="20"/>
              </w:rPr>
              <w:t>参见表</w:t>
            </w:r>
            <w:r>
              <w:rPr>
                <w:rFonts w:ascii="仿宋" w:hAnsi="仿宋" w:eastAsia="仿宋" w:cs="仿宋"/>
                <w:spacing w:val="-23"/>
                <w:sz w:val="20"/>
                <w:szCs w:val="20"/>
              </w:rPr>
              <w:t xml:space="preserve"> </w:t>
            </w:r>
            <w:r>
              <w:rPr>
                <w:rFonts w:ascii="仿宋" w:hAnsi="仿宋" w:eastAsia="仿宋" w:cs="仿宋"/>
                <w:spacing w:val="-9"/>
                <w:sz w:val="20"/>
                <w:szCs w:val="20"/>
              </w:rPr>
              <w:t>5- 15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8" w:hRule="atLeast"/>
        </w:trPr>
        <w:tc>
          <w:tcPr>
            <w:tcW w:w="5275" w:type="dxa"/>
            <w:tcBorders>
              <w:left w:val="single" w:color="000000" w:sz="8" w:space="0"/>
            </w:tcBorders>
            <w:vAlign w:val="top"/>
          </w:tcPr>
          <w:p>
            <w:pPr>
              <w:spacing w:before="79" w:line="231" w:lineRule="auto"/>
              <w:ind w:left="2339"/>
              <w:rPr>
                <w:rFonts w:ascii="仿宋" w:hAnsi="仿宋" w:eastAsia="仿宋" w:cs="仿宋"/>
                <w:sz w:val="20"/>
                <w:szCs w:val="20"/>
              </w:rPr>
            </w:pPr>
            <w:r>
              <w:rPr>
                <w:rFonts w:ascii="仿宋" w:hAnsi="仿宋" w:eastAsia="仿宋" w:cs="仿宋"/>
                <w:spacing w:val="-2"/>
                <w:sz w:val="20"/>
                <w:szCs w:val="20"/>
              </w:rPr>
              <w:t>含泥量</w:t>
            </w:r>
            <w:r>
              <w:rPr>
                <w:rFonts w:ascii="仿宋" w:hAnsi="仿宋" w:eastAsia="仿宋" w:cs="仿宋"/>
                <w:spacing w:val="46"/>
                <w:sz w:val="20"/>
                <w:szCs w:val="20"/>
              </w:rPr>
              <w:t xml:space="preserve"> </w:t>
            </w:r>
            <w:r>
              <w:rPr>
                <w:rFonts w:ascii="仿宋" w:hAnsi="仿宋" w:eastAsia="仿宋" w:cs="仿宋"/>
                <w:spacing w:val="-2"/>
                <w:sz w:val="20"/>
                <w:szCs w:val="20"/>
              </w:rPr>
              <w:t>(冲洗法)</w:t>
            </w:r>
          </w:p>
        </w:tc>
        <w:tc>
          <w:tcPr>
            <w:tcW w:w="3167" w:type="dxa"/>
            <w:tcBorders>
              <w:right w:val="single" w:color="000000" w:sz="8" w:space="0"/>
            </w:tcBorders>
            <w:vAlign w:val="top"/>
          </w:tcPr>
          <w:p>
            <w:pPr>
              <w:spacing w:before="79" w:line="271" w:lineRule="exact"/>
              <w:ind w:left="1777"/>
              <w:rPr>
                <w:rFonts w:ascii="仿宋" w:hAnsi="仿宋" w:eastAsia="仿宋" w:cs="仿宋"/>
                <w:sz w:val="20"/>
                <w:szCs w:val="20"/>
              </w:rPr>
            </w:pPr>
            <w:r>
              <w:rPr>
                <w:rFonts w:ascii="仿宋" w:hAnsi="仿宋" w:eastAsia="仿宋" w:cs="仿宋"/>
                <w:spacing w:val="-4"/>
                <w:position w:val="1"/>
                <w:sz w:val="20"/>
                <w:szCs w:val="20"/>
              </w:rPr>
              <w:t>&lt;</w:t>
            </w:r>
            <w:r>
              <w:rPr>
                <w:rFonts w:ascii="仿宋" w:hAnsi="仿宋" w:eastAsia="仿宋" w:cs="仿宋"/>
                <w:spacing w:val="18"/>
                <w:position w:val="1"/>
                <w:sz w:val="20"/>
                <w:szCs w:val="20"/>
              </w:rPr>
              <w:t xml:space="preserve"> </w:t>
            </w:r>
            <w:r>
              <w:rPr>
                <w:rFonts w:ascii="仿宋" w:hAnsi="仿宋" w:eastAsia="仿宋" w:cs="仿宋"/>
                <w:spacing w:val="-4"/>
                <w:position w:val="1"/>
                <w:sz w:val="20"/>
                <w:szCs w:val="20"/>
              </w:rP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4" w:hRule="atLeast"/>
        </w:trPr>
        <w:tc>
          <w:tcPr>
            <w:tcW w:w="5275" w:type="dxa"/>
            <w:tcBorders>
              <w:left w:val="single" w:color="000000" w:sz="8" w:space="0"/>
            </w:tcBorders>
            <w:vAlign w:val="top"/>
          </w:tcPr>
          <w:p>
            <w:pPr>
              <w:spacing w:before="66" w:line="229" w:lineRule="auto"/>
              <w:ind w:left="1264"/>
              <w:rPr>
                <w:rFonts w:ascii="仿宋" w:hAnsi="仿宋" w:eastAsia="仿宋" w:cs="仿宋"/>
                <w:sz w:val="20"/>
                <w:szCs w:val="20"/>
              </w:rPr>
            </w:pPr>
            <w:r>
              <w:rPr>
                <w:rFonts w:ascii="仿宋" w:hAnsi="仿宋" w:eastAsia="仿宋" w:cs="仿宋"/>
                <w:spacing w:val="7"/>
                <w:sz w:val="20"/>
                <w:szCs w:val="20"/>
              </w:rPr>
              <w:t>硫化物及硫酸盐含量</w:t>
            </w:r>
            <w:r>
              <w:rPr>
                <w:rFonts w:ascii="仿宋" w:hAnsi="仿宋" w:eastAsia="仿宋" w:cs="仿宋"/>
                <w:spacing w:val="53"/>
                <w:sz w:val="20"/>
                <w:szCs w:val="20"/>
              </w:rPr>
              <w:t xml:space="preserve"> </w:t>
            </w:r>
            <w:r>
              <w:rPr>
                <w:rFonts w:ascii="仿宋" w:hAnsi="仿宋" w:eastAsia="仿宋" w:cs="仿宋"/>
                <w:spacing w:val="7"/>
                <w:sz w:val="20"/>
                <w:szCs w:val="20"/>
              </w:rPr>
              <w:t xml:space="preserve">(折算为 </w:t>
            </w:r>
            <w:r>
              <w:rPr>
                <w:rFonts w:ascii="仿宋" w:hAnsi="仿宋" w:eastAsia="仿宋" w:cs="仿宋"/>
                <w:sz w:val="20"/>
                <w:szCs w:val="20"/>
              </w:rPr>
              <w:t>SO</w:t>
            </w:r>
            <w:r>
              <w:rPr>
                <w:rFonts w:ascii="仿宋" w:hAnsi="仿宋" w:eastAsia="仿宋" w:cs="仿宋"/>
                <w:spacing w:val="7"/>
                <w:position w:val="-1"/>
                <w:sz w:val="12"/>
                <w:szCs w:val="12"/>
              </w:rPr>
              <w:t xml:space="preserve">3 </w:t>
            </w:r>
            <w:r>
              <w:rPr>
                <w:rFonts w:ascii="仿宋" w:hAnsi="仿宋" w:eastAsia="仿宋" w:cs="仿宋"/>
                <w:spacing w:val="7"/>
                <w:sz w:val="20"/>
                <w:szCs w:val="20"/>
              </w:rPr>
              <w:t>)(%)</w:t>
            </w:r>
          </w:p>
        </w:tc>
        <w:tc>
          <w:tcPr>
            <w:tcW w:w="3167" w:type="dxa"/>
            <w:tcBorders>
              <w:right w:val="single" w:color="000000" w:sz="8" w:space="0"/>
            </w:tcBorders>
            <w:vAlign w:val="top"/>
          </w:tcPr>
          <w:p>
            <w:pPr>
              <w:spacing w:before="78" w:line="270" w:lineRule="exact"/>
              <w:ind w:left="1701"/>
              <w:rPr>
                <w:rFonts w:ascii="仿宋" w:hAnsi="仿宋" w:eastAsia="仿宋" w:cs="仿宋"/>
                <w:sz w:val="20"/>
                <w:szCs w:val="20"/>
              </w:rPr>
            </w:pPr>
            <w:r>
              <w:rPr>
                <w:rFonts w:ascii="仿宋" w:hAnsi="仿宋" w:eastAsia="仿宋" w:cs="仿宋"/>
                <w:spacing w:val="-1"/>
                <w:position w:val="1"/>
                <w:sz w:val="20"/>
                <w:szCs w:val="20"/>
              </w:rPr>
              <w:t>&lt;</w:t>
            </w:r>
            <w:r>
              <w:rPr>
                <w:rFonts w:ascii="仿宋" w:hAnsi="仿宋" w:eastAsia="仿宋" w:cs="仿宋"/>
                <w:spacing w:val="13"/>
                <w:position w:val="1"/>
                <w:sz w:val="20"/>
                <w:szCs w:val="20"/>
              </w:rPr>
              <w:t xml:space="preserve"> </w:t>
            </w:r>
            <w:r>
              <w:rPr>
                <w:rFonts w:ascii="仿宋" w:hAnsi="仿宋" w:eastAsia="仿宋" w:cs="仿宋"/>
                <w:spacing w:val="-1"/>
                <w:position w:val="1"/>
                <w:sz w:val="20"/>
                <w:szCs w:val="20"/>
              </w:rPr>
              <w:t>0.5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5275" w:type="dxa"/>
            <w:tcBorders>
              <w:left w:val="single" w:color="000000" w:sz="8" w:space="0"/>
            </w:tcBorders>
            <w:vAlign w:val="top"/>
          </w:tcPr>
          <w:p>
            <w:pPr>
              <w:spacing w:before="83" w:line="229" w:lineRule="auto"/>
              <w:ind w:left="2124"/>
              <w:rPr>
                <w:rFonts w:ascii="仿宋" w:hAnsi="仿宋" w:eastAsia="仿宋" w:cs="仿宋"/>
                <w:sz w:val="20"/>
                <w:szCs w:val="20"/>
              </w:rPr>
            </w:pPr>
            <w:r>
              <w:rPr>
                <w:rFonts w:ascii="仿宋" w:hAnsi="仿宋" w:eastAsia="仿宋" w:cs="仿宋"/>
                <w:sz w:val="20"/>
                <w:szCs w:val="20"/>
              </w:rPr>
              <w:t>有机物含量</w:t>
            </w:r>
            <w:r>
              <w:rPr>
                <w:rFonts w:ascii="仿宋" w:hAnsi="仿宋" w:eastAsia="仿宋" w:cs="仿宋"/>
                <w:spacing w:val="52"/>
                <w:sz w:val="20"/>
                <w:szCs w:val="20"/>
              </w:rPr>
              <w:t xml:space="preserve"> </w:t>
            </w:r>
            <w:r>
              <w:rPr>
                <w:rFonts w:ascii="仿宋" w:hAnsi="仿宋" w:eastAsia="仿宋" w:cs="仿宋"/>
                <w:sz w:val="20"/>
                <w:szCs w:val="20"/>
              </w:rPr>
              <w:t>(比色法)</w:t>
            </w:r>
          </w:p>
        </w:tc>
        <w:tc>
          <w:tcPr>
            <w:tcW w:w="3167" w:type="dxa"/>
            <w:tcBorders>
              <w:right w:val="single" w:color="000000" w:sz="8" w:space="0"/>
            </w:tcBorders>
            <w:vAlign w:val="top"/>
          </w:tcPr>
          <w:p>
            <w:pPr>
              <w:spacing w:before="83" w:line="231" w:lineRule="auto"/>
              <w:ind w:left="1715"/>
              <w:rPr>
                <w:rFonts w:ascii="仿宋" w:hAnsi="仿宋" w:eastAsia="仿宋" w:cs="仿宋"/>
                <w:sz w:val="20"/>
                <w:szCs w:val="20"/>
              </w:rPr>
            </w:pPr>
            <w:r>
              <w:rPr>
                <w:rFonts w:ascii="仿宋" w:hAnsi="仿宋" w:eastAsia="仿宋" w:cs="仿宋"/>
                <w:spacing w:val="-5"/>
                <w:sz w:val="20"/>
                <w:szCs w:val="20"/>
              </w:rPr>
              <w:t>合格</w:t>
            </w:r>
          </w:p>
        </w:tc>
      </w:tr>
    </w:tbl>
    <w:p>
      <w:pPr>
        <w:pStyle w:val="11"/>
        <w:spacing w:line="270" w:lineRule="auto"/>
      </w:pPr>
    </w:p>
    <w:p>
      <w:pPr>
        <w:pStyle w:val="11"/>
        <w:spacing w:line="271" w:lineRule="auto"/>
      </w:pPr>
    </w:p>
    <w:p>
      <w:pPr>
        <w:spacing w:before="91" w:line="221" w:lineRule="auto"/>
        <w:ind w:left="587"/>
        <w:rPr>
          <w:rFonts w:ascii="仿宋" w:hAnsi="仿宋" w:eastAsia="仿宋" w:cs="仿宋"/>
          <w:sz w:val="24"/>
          <w:szCs w:val="24"/>
        </w:rPr>
      </w:pPr>
      <w:r>
        <w:rPr>
          <w:rFonts w:ascii="仿宋" w:hAnsi="仿宋" w:eastAsia="仿宋" w:cs="仿宋"/>
          <w:spacing w:val="-4"/>
          <w:sz w:val="24"/>
          <w:szCs w:val="24"/>
        </w:rPr>
        <w:t>细集料标准级配范围</w:t>
      </w:r>
      <w:r>
        <w:rPr>
          <w:rFonts w:ascii="仿宋" w:hAnsi="仿宋" w:eastAsia="仿宋" w:cs="仿宋"/>
          <w:spacing w:val="1"/>
          <w:sz w:val="24"/>
          <w:szCs w:val="24"/>
        </w:rPr>
        <w:t xml:space="preserve">                              </w:t>
      </w:r>
      <w:r>
        <w:rPr>
          <w:rFonts w:ascii="仿宋" w:hAnsi="仿宋" w:eastAsia="仿宋" w:cs="仿宋"/>
          <w:spacing w:val="-4"/>
          <w:sz w:val="24"/>
          <w:szCs w:val="24"/>
        </w:rPr>
        <w:t>表 7-5</w:t>
      </w:r>
    </w:p>
    <w:p>
      <w:pPr>
        <w:spacing w:before="47"/>
      </w:pPr>
    </w:p>
    <w:tbl>
      <w:tblPr>
        <w:tblStyle w:val="23"/>
        <w:tblW w:w="8862" w:type="dxa"/>
        <w:tblInd w:w="1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83"/>
        <w:gridCol w:w="1486"/>
        <w:gridCol w:w="1455"/>
        <w:gridCol w:w="1492"/>
        <w:gridCol w:w="1325"/>
        <w:gridCol w:w="1256"/>
        <w:gridCol w:w="106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783" w:type="dxa"/>
            <w:vMerge w:val="restart"/>
            <w:tcBorders>
              <w:left w:val="single" w:color="000000" w:sz="8" w:space="0"/>
              <w:bottom w:val="nil"/>
            </w:tcBorders>
            <w:vAlign w:val="top"/>
          </w:tcPr>
          <w:p>
            <w:pPr>
              <w:spacing w:line="328" w:lineRule="auto"/>
              <w:rPr>
                <w:rFonts w:ascii="Arial"/>
                <w:sz w:val="21"/>
              </w:rPr>
            </w:pPr>
          </w:p>
          <w:p>
            <w:pPr>
              <w:spacing w:before="65" w:line="232" w:lineRule="auto"/>
              <w:ind w:left="15"/>
              <w:rPr>
                <w:rFonts w:ascii="仿宋" w:hAnsi="仿宋" w:eastAsia="仿宋" w:cs="仿宋"/>
                <w:sz w:val="20"/>
                <w:szCs w:val="20"/>
              </w:rPr>
            </w:pPr>
            <w:r>
              <w:rPr>
                <w:rFonts w:ascii="仿宋" w:hAnsi="仿宋" w:eastAsia="仿宋" w:cs="仿宋"/>
                <w:spacing w:val="2"/>
                <w:sz w:val="20"/>
                <w:szCs w:val="20"/>
              </w:rPr>
              <w:t>砂分级</w:t>
            </w:r>
          </w:p>
        </w:tc>
        <w:tc>
          <w:tcPr>
            <w:tcW w:w="8079" w:type="dxa"/>
            <w:gridSpan w:val="6"/>
            <w:tcBorders>
              <w:right w:val="single" w:color="000000" w:sz="8" w:space="0"/>
            </w:tcBorders>
            <w:vAlign w:val="top"/>
          </w:tcPr>
          <w:p>
            <w:pPr>
              <w:spacing w:before="82" w:line="231" w:lineRule="auto"/>
              <w:ind w:left="630"/>
              <w:rPr>
                <w:rFonts w:ascii="仿宋" w:hAnsi="仿宋" w:eastAsia="仿宋" w:cs="仿宋"/>
                <w:sz w:val="20"/>
                <w:szCs w:val="20"/>
              </w:rPr>
            </w:pPr>
            <w:r>
              <w:rPr>
                <w:rFonts w:ascii="仿宋" w:hAnsi="仿宋" w:eastAsia="仿宋" w:cs="仿宋"/>
                <w:sz w:val="20"/>
                <w:szCs w:val="20"/>
              </w:rPr>
              <w:t>筛孔尺寸</w:t>
            </w:r>
            <w:r>
              <w:rPr>
                <w:rFonts w:ascii="仿宋" w:hAnsi="仿宋" w:eastAsia="仿宋" w:cs="仿宋"/>
                <w:spacing w:val="44"/>
                <w:sz w:val="20"/>
                <w:szCs w:val="20"/>
              </w:rPr>
              <w:t xml:space="preserve"> </w:t>
            </w:r>
            <w:r>
              <w:rPr>
                <w:rFonts w:ascii="仿宋" w:hAnsi="仿宋" w:eastAsia="仿宋" w:cs="仿宋"/>
                <w:sz w:val="20"/>
                <w:szCs w:val="20"/>
              </w:rPr>
              <w:t>(方孔)(mm )</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783" w:type="dxa"/>
            <w:vMerge w:val="continue"/>
            <w:tcBorders>
              <w:top w:val="nil"/>
              <w:left w:val="single" w:color="000000" w:sz="8" w:space="0"/>
              <w:bottom w:val="nil"/>
            </w:tcBorders>
            <w:vAlign w:val="top"/>
          </w:tcPr>
          <w:p>
            <w:pPr>
              <w:rPr>
                <w:rFonts w:ascii="Arial"/>
                <w:sz w:val="21"/>
              </w:rPr>
            </w:pPr>
          </w:p>
        </w:tc>
        <w:tc>
          <w:tcPr>
            <w:tcW w:w="1486" w:type="dxa"/>
            <w:vAlign w:val="top"/>
          </w:tcPr>
          <w:p>
            <w:pPr>
              <w:spacing w:before="117" w:line="187" w:lineRule="auto"/>
              <w:ind w:left="623"/>
              <w:rPr>
                <w:rFonts w:ascii="仿宋" w:hAnsi="仿宋" w:eastAsia="仿宋" w:cs="仿宋"/>
                <w:sz w:val="20"/>
                <w:szCs w:val="20"/>
              </w:rPr>
            </w:pPr>
            <w:r>
              <w:rPr>
                <w:rFonts w:ascii="仿宋" w:hAnsi="仿宋" w:eastAsia="仿宋" w:cs="仿宋"/>
                <w:spacing w:val="1"/>
                <w:sz w:val="20"/>
                <w:szCs w:val="20"/>
              </w:rPr>
              <w:t>0.15</w:t>
            </w:r>
          </w:p>
        </w:tc>
        <w:tc>
          <w:tcPr>
            <w:tcW w:w="1455" w:type="dxa"/>
            <w:vAlign w:val="top"/>
          </w:tcPr>
          <w:p>
            <w:pPr>
              <w:spacing w:before="118" w:line="186" w:lineRule="auto"/>
              <w:ind w:left="625"/>
              <w:rPr>
                <w:rFonts w:ascii="仿宋" w:hAnsi="仿宋" w:eastAsia="仿宋" w:cs="仿宋"/>
                <w:sz w:val="20"/>
                <w:szCs w:val="20"/>
              </w:rPr>
            </w:pPr>
            <w:r>
              <w:rPr>
                <w:rFonts w:ascii="仿宋" w:hAnsi="仿宋" w:eastAsia="仿宋" w:cs="仿宋"/>
                <w:spacing w:val="1"/>
                <w:sz w:val="20"/>
                <w:szCs w:val="20"/>
              </w:rPr>
              <w:t>0.30</w:t>
            </w:r>
          </w:p>
        </w:tc>
        <w:tc>
          <w:tcPr>
            <w:tcW w:w="1492" w:type="dxa"/>
            <w:vAlign w:val="top"/>
          </w:tcPr>
          <w:p>
            <w:pPr>
              <w:spacing w:before="118" w:line="186" w:lineRule="auto"/>
              <w:ind w:left="627"/>
              <w:rPr>
                <w:rFonts w:ascii="仿宋" w:hAnsi="仿宋" w:eastAsia="仿宋" w:cs="仿宋"/>
                <w:sz w:val="20"/>
                <w:szCs w:val="20"/>
              </w:rPr>
            </w:pPr>
            <w:r>
              <w:rPr>
                <w:rFonts w:ascii="仿宋" w:hAnsi="仿宋" w:eastAsia="仿宋" w:cs="仿宋"/>
                <w:spacing w:val="1"/>
                <w:sz w:val="20"/>
                <w:szCs w:val="20"/>
              </w:rPr>
              <w:t>0.60</w:t>
            </w:r>
          </w:p>
        </w:tc>
        <w:tc>
          <w:tcPr>
            <w:tcW w:w="1325" w:type="dxa"/>
            <w:vAlign w:val="top"/>
          </w:tcPr>
          <w:p>
            <w:pPr>
              <w:spacing w:before="117" w:line="187" w:lineRule="auto"/>
              <w:ind w:left="646"/>
              <w:rPr>
                <w:rFonts w:ascii="仿宋" w:hAnsi="仿宋" w:eastAsia="仿宋" w:cs="仿宋"/>
                <w:sz w:val="20"/>
                <w:szCs w:val="20"/>
              </w:rPr>
            </w:pPr>
            <w:r>
              <w:rPr>
                <w:rFonts w:ascii="仿宋" w:hAnsi="仿宋" w:eastAsia="仿宋" w:cs="仿宋"/>
                <w:spacing w:val="-3"/>
                <w:sz w:val="20"/>
                <w:szCs w:val="20"/>
              </w:rPr>
              <w:t>1.18</w:t>
            </w:r>
          </w:p>
        </w:tc>
        <w:tc>
          <w:tcPr>
            <w:tcW w:w="1256" w:type="dxa"/>
            <w:vAlign w:val="top"/>
          </w:tcPr>
          <w:p>
            <w:pPr>
              <w:spacing w:before="118" w:line="186" w:lineRule="auto"/>
              <w:ind w:left="635"/>
              <w:rPr>
                <w:rFonts w:ascii="仿宋" w:hAnsi="仿宋" w:eastAsia="仿宋" w:cs="仿宋"/>
                <w:sz w:val="20"/>
                <w:szCs w:val="20"/>
              </w:rPr>
            </w:pPr>
            <w:r>
              <w:rPr>
                <w:rFonts w:ascii="仿宋" w:hAnsi="仿宋" w:eastAsia="仿宋" w:cs="仿宋"/>
                <w:spacing w:val="1"/>
                <w:sz w:val="20"/>
                <w:szCs w:val="20"/>
              </w:rPr>
              <w:t>2.36</w:t>
            </w:r>
          </w:p>
        </w:tc>
        <w:tc>
          <w:tcPr>
            <w:tcW w:w="1065" w:type="dxa"/>
            <w:tcBorders>
              <w:right w:val="single" w:color="000000" w:sz="8" w:space="0"/>
            </w:tcBorders>
            <w:vAlign w:val="top"/>
          </w:tcPr>
          <w:p>
            <w:pPr>
              <w:spacing w:before="118" w:line="186" w:lineRule="auto"/>
              <w:ind w:right="8"/>
              <w:jc w:val="right"/>
              <w:rPr>
                <w:rFonts w:ascii="仿宋" w:hAnsi="仿宋" w:eastAsia="仿宋" w:cs="仿宋"/>
                <w:sz w:val="20"/>
                <w:szCs w:val="20"/>
              </w:rPr>
            </w:pPr>
            <w:r>
              <w:rPr>
                <w:rFonts w:ascii="仿宋" w:hAnsi="仿宋" w:eastAsia="仿宋" w:cs="仿宋"/>
                <w:spacing w:val="1"/>
                <w:sz w:val="20"/>
                <w:szCs w:val="20"/>
              </w:rPr>
              <w:t>4.75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783" w:type="dxa"/>
            <w:vMerge w:val="continue"/>
            <w:tcBorders>
              <w:top w:val="nil"/>
              <w:left w:val="single" w:color="000000" w:sz="8" w:space="0"/>
            </w:tcBorders>
            <w:vAlign w:val="top"/>
          </w:tcPr>
          <w:p>
            <w:pPr>
              <w:rPr>
                <w:rFonts w:ascii="Arial"/>
                <w:sz w:val="21"/>
              </w:rPr>
            </w:pPr>
          </w:p>
        </w:tc>
        <w:tc>
          <w:tcPr>
            <w:tcW w:w="8079" w:type="dxa"/>
            <w:gridSpan w:val="6"/>
            <w:tcBorders>
              <w:right w:val="single" w:color="000000" w:sz="8" w:space="0"/>
            </w:tcBorders>
            <w:vAlign w:val="top"/>
          </w:tcPr>
          <w:p>
            <w:pPr>
              <w:spacing w:before="83" w:line="229" w:lineRule="auto"/>
              <w:ind w:left="632"/>
              <w:rPr>
                <w:rFonts w:ascii="仿宋" w:hAnsi="仿宋" w:eastAsia="仿宋" w:cs="仿宋"/>
                <w:sz w:val="20"/>
                <w:szCs w:val="20"/>
              </w:rPr>
            </w:pPr>
            <w:r>
              <w:rPr>
                <w:rFonts w:ascii="仿宋" w:hAnsi="仿宋" w:eastAsia="仿宋" w:cs="仿宋"/>
                <w:sz w:val="20"/>
                <w:szCs w:val="20"/>
              </w:rPr>
              <w:t>通过百分率</w:t>
            </w:r>
            <w:r>
              <w:rPr>
                <w:rFonts w:ascii="仿宋" w:hAnsi="仿宋" w:eastAsia="仿宋" w:cs="仿宋"/>
                <w:spacing w:val="51"/>
                <w:sz w:val="20"/>
                <w:szCs w:val="20"/>
              </w:rPr>
              <w:t xml:space="preserve"> </w:t>
            </w:r>
            <w:r>
              <w:rPr>
                <w:rFonts w:ascii="仿宋" w:hAnsi="仿宋" w:eastAsia="仿宋" w:cs="仿宋"/>
                <w:sz w:val="20"/>
                <w:szCs w:val="20"/>
              </w:rPr>
              <w:t>(以质量计)(%)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3" w:hRule="atLeast"/>
        </w:trPr>
        <w:tc>
          <w:tcPr>
            <w:tcW w:w="783" w:type="dxa"/>
            <w:tcBorders>
              <w:left w:val="single" w:color="000000" w:sz="8" w:space="0"/>
            </w:tcBorders>
            <w:vAlign w:val="top"/>
          </w:tcPr>
          <w:p>
            <w:pPr>
              <w:spacing w:before="84" w:line="231" w:lineRule="auto"/>
              <w:ind w:left="43"/>
              <w:rPr>
                <w:rFonts w:ascii="仿宋" w:hAnsi="仿宋" w:eastAsia="仿宋" w:cs="仿宋"/>
                <w:sz w:val="20"/>
                <w:szCs w:val="20"/>
              </w:rPr>
            </w:pPr>
            <w:r>
              <w:rPr>
                <w:rFonts w:ascii="仿宋" w:hAnsi="仿宋" w:eastAsia="仿宋" w:cs="仿宋"/>
                <w:spacing w:val="-13"/>
                <w:sz w:val="20"/>
                <w:szCs w:val="20"/>
              </w:rPr>
              <w:t>中砂</w:t>
            </w:r>
          </w:p>
        </w:tc>
        <w:tc>
          <w:tcPr>
            <w:tcW w:w="1486" w:type="dxa"/>
            <w:vAlign w:val="top"/>
          </w:tcPr>
          <w:p>
            <w:pPr>
              <w:spacing w:before="88" w:line="36" w:lineRule="exact"/>
              <w:ind w:left="828"/>
              <w:rPr>
                <w:rFonts w:ascii="仿宋" w:hAnsi="仿宋" w:eastAsia="仿宋" w:cs="仿宋"/>
                <w:sz w:val="20"/>
                <w:szCs w:val="20"/>
              </w:rPr>
            </w:pPr>
            <w:r>
              <w:rPr>
                <w:rFonts w:ascii="仿宋" w:hAnsi="仿宋" w:eastAsia="仿宋" w:cs="仿宋"/>
                <w:position w:val="-14"/>
                <w:sz w:val="20"/>
                <w:szCs w:val="20"/>
              </w:rPr>
              <w:t>~</w:t>
            </w:r>
          </w:p>
          <w:p>
            <w:pPr>
              <w:spacing w:line="182" w:lineRule="auto"/>
              <w:ind w:left="622"/>
              <w:rPr>
                <w:rFonts w:ascii="仿宋" w:hAnsi="仿宋" w:eastAsia="仿宋" w:cs="仿宋"/>
                <w:sz w:val="20"/>
                <w:szCs w:val="20"/>
              </w:rPr>
            </w:pPr>
            <w:r>
              <w:rPr>
                <w:rFonts w:ascii="仿宋" w:hAnsi="仿宋" w:eastAsia="仿宋" w:cs="仿宋"/>
                <w:spacing w:val="-3"/>
                <w:sz w:val="20"/>
                <w:szCs w:val="20"/>
              </w:rPr>
              <w:t>90</w:t>
            </w:r>
            <w:r>
              <w:rPr>
                <w:rFonts w:ascii="仿宋" w:hAnsi="仿宋" w:eastAsia="仿宋" w:cs="仿宋"/>
                <w:spacing w:val="26"/>
                <w:sz w:val="20"/>
                <w:szCs w:val="20"/>
              </w:rPr>
              <w:t xml:space="preserve"> </w:t>
            </w:r>
            <w:r>
              <w:rPr>
                <w:rFonts w:ascii="仿宋" w:hAnsi="仿宋" w:eastAsia="仿宋" w:cs="仿宋"/>
                <w:spacing w:val="-3"/>
                <w:sz w:val="20"/>
                <w:szCs w:val="20"/>
              </w:rPr>
              <w:t>100</w:t>
            </w:r>
          </w:p>
        </w:tc>
        <w:tc>
          <w:tcPr>
            <w:tcW w:w="1455" w:type="dxa"/>
            <w:vAlign w:val="top"/>
          </w:tcPr>
          <w:p>
            <w:pPr>
              <w:spacing w:before="88" w:line="37" w:lineRule="exact"/>
              <w:ind w:left="830"/>
              <w:rPr>
                <w:rFonts w:ascii="仿宋" w:hAnsi="仿宋" w:eastAsia="仿宋" w:cs="仿宋"/>
                <w:sz w:val="20"/>
                <w:szCs w:val="20"/>
              </w:rPr>
            </w:pPr>
            <w:r>
              <w:rPr>
                <w:rFonts w:ascii="仿宋" w:hAnsi="仿宋" w:eastAsia="仿宋" w:cs="仿宋"/>
                <w:position w:val="-14"/>
                <w:sz w:val="20"/>
                <w:szCs w:val="20"/>
              </w:rPr>
              <w:t>~</w:t>
            </w:r>
          </w:p>
          <w:p>
            <w:pPr>
              <w:spacing w:before="1" w:line="181" w:lineRule="auto"/>
              <w:ind w:left="628"/>
              <w:rPr>
                <w:rFonts w:ascii="仿宋" w:hAnsi="仿宋" w:eastAsia="仿宋" w:cs="仿宋"/>
                <w:sz w:val="20"/>
                <w:szCs w:val="20"/>
              </w:rPr>
            </w:pPr>
            <w:r>
              <w:rPr>
                <w:rFonts w:ascii="仿宋" w:hAnsi="仿宋" w:eastAsia="仿宋" w:cs="仿宋"/>
                <w:spacing w:val="-2"/>
                <w:sz w:val="20"/>
                <w:szCs w:val="20"/>
              </w:rPr>
              <w:t>70</w:t>
            </w:r>
            <w:r>
              <w:rPr>
                <w:rFonts w:ascii="仿宋" w:hAnsi="仿宋" w:eastAsia="仿宋" w:cs="仿宋"/>
                <w:spacing w:val="11"/>
                <w:sz w:val="20"/>
                <w:szCs w:val="20"/>
              </w:rPr>
              <w:t xml:space="preserve"> </w:t>
            </w:r>
            <w:r>
              <w:rPr>
                <w:rFonts w:ascii="仿宋" w:hAnsi="仿宋" w:eastAsia="仿宋" w:cs="仿宋"/>
                <w:spacing w:val="-2"/>
                <w:sz w:val="20"/>
                <w:szCs w:val="20"/>
              </w:rPr>
              <w:t>92</w:t>
            </w:r>
          </w:p>
        </w:tc>
        <w:tc>
          <w:tcPr>
            <w:tcW w:w="1492" w:type="dxa"/>
            <w:vAlign w:val="top"/>
          </w:tcPr>
          <w:p>
            <w:pPr>
              <w:spacing w:before="88" w:line="36" w:lineRule="exact"/>
              <w:ind w:left="831"/>
              <w:rPr>
                <w:rFonts w:ascii="仿宋" w:hAnsi="仿宋" w:eastAsia="仿宋" w:cs="仿宋"/>
                <w:sz w:val="20"/>
                <w:szCs w:val="20"/>
              </w:rPr>
            </w:pPr>
            <w:r>
              <w:rPr>
                <w:rFonts w:ascii="仿宋" w:hAnsi="仿宋" w:eastAsia="仿宋" w:cs="仿宋"/>
                <w:position w:val="-14"/>
                <w:sz w:val="20"/>
                <w:szCs w:val="20"/>
              </w:rPr>
              <w:t>~</w:t>
            </w:r>
          </w:p>
          <w:p>
            <w:pPr>
              <w:spacing w:line="182" w:lineRule="auto"/>
              <w:ind w:left="624"/>
              <w:rPr>
                <w:rFonts w:ascii="仿宋" w:hAnsi="仿宋" w:eastAsia="仿宋" w:cs="仿宋"/>
                <w:sz w:val="20"/>
                <w:szCs w:val="20"/>
              </w:rPr>
            </w:pPr>
            <w:r>
              <w:rPr>
                <w:rFonts w:ascii="仿宋" w:hAnsi="仿宋" w:eastAsia="仿宋" w:cs="仿宋"/>
                <w:spacing w:val="-1"/>
                <w:sz w:val="20"/>
                <w:szCs w:val="20"/>
              </w:rPr>
              <w:t>41</w:t>
            </w:r>
            <w:r>
              <w:rPr>
                <w:rFonts w:ascii="仿宋" w:hAnsi="仿宋" w:eastAsia="仿宋" w:cs="仿宋"/>
                <w:spacing w:val="14"/>
                <w:sz w:val="20"/>
                <w:szCs w:val="20"/>
              </w:rPr>
              <w:t xml:space="preserve"> </w:t>
            </w:r>
            <w:r>
              <w:rPr>
                <w:rFonts w:ascii="仿宋" w:hAnsi="仿宋" w:eastAsia="仿宋" w:cs="仿宋"/>
                <w:spacing w:val="-1"/>
                <w:sz w:val="20"/>
                <w:szCs w:val="20"/>
              </w:rPr>
              <w:t>70</w:t>
            </w:r>
          </w:p>
        </w:tc>
        <w:tc>
          <w:tcPr>
            <w:tcW w:w="1325" w:type="dxa"/>
            <w:vAlign w:val="top"/>
          </w:tcPr>
          <w:p>
            <w:pPr>
              <w:spacing w:before="88" w:line="36" w:lineRule="exact"/>
              <w:ind w:left="837"/>
              <w:rPr>
                <w:rFonts w:ascii="仿宋" w:hAnsi="仿宋" w:eastAsia="仿宋" w:cs="仿宋"/>
                <w:sz w:val="20"/>
                <w:szCs w:val="20"/>
              </w:rPr>
            </w:pPr>
            <w:r>
              <w:rPr>
                <w:rFonts w:ascii="仿宋" w:hAnsi="仿宋" w:eastAsia="仿宋" w:cs="仿宋"/>
                <w:position w:val="-14"/>
                <w:sz w:val="20"/>
                <w:szCs w:val="20"/>
              </w:rPr>
              <w:t>~</w:t>
            </w:r>
          </w:p>
          <w:p>
            <w:pPr>
              <w:spacing w:line="182" w:lineRule="auto"/>
              <w:ind w:left="646"/>
              <w:rPr>
                <w:rFonts w:ascii="仿宋" w:hAnsi="仿宋" w:eastAsia="仿宋" w:cs="仿宋"/>
                <w:sz w:val="20"/>
                <w:szCs w:val="20"/>
              </w:rPr>
            </w:pPr>
            <w:r>
              <w:rPr>
                <w:rFonts w:ascii="仿宋" w:hAnsi="仿宋" w:eastAsia="仿宋" w:cs="仿宋"/>
                <w:spacing w:val="-5"/>
                <w:sz w:val="20"/>
                <w:szCs w:val="20"/>
              </w:rPr>
              <w:t>10</w:t>
            </w:r>
            <w:r>
              <w:rPr>
                <w:rFonts w:ascii="仿宋" w:hAnsi="仿宋" w:eastAsia="仿宋" w:cs="仿宋"/>
                <w:spacing w:val="13"/>
                <w:sz w:val="20"/>
                <w:szCs w:val="20"/>
              </w:rPr>
              <w:t xml:space="preserve"> </w:t>
            </w:r>
            <w:r>
              <w:rPr>
                <w:rFonts w:ascii="仿宋" w:hAnsi="仿宋" w:eastAsia="仿宋" w:cs="仿宋"/>
                <w:spacing w:val="-5"/>
                <w:sz w:val="20"/>
                <w:szCs w:val="20"/>
              </w:rPr>
              <w:t>50</w:t>
            </w:r>
          </w:p>
        </w:tc>
        <w:tc>
          <w:tcPr>
            <w:tcW w:w="1256" w:type="dxa"/>
            <w:vAlign w:val="top"/>
          </w:tcPr>
          <w:p>
            <w:pPr>
              <w:spacing w:before="88" w:line="37" w:lineRule="exact"/>
              <w:ind w:left="736"/>
              <w:rPr>
                <w:rFonts w:ascii="仿宋" w:hAnsi="仿宋" w:eastAsia="仿宋" w:cs="仿宋"/>
                <w:sz w:val="20"/>
                <w:szCs w:val="20"/>
              </w:rPr>
            </w:pPr>
            <w:r>
              <w:rPr>
                <w:rFonts w:ascii="仿宋" w:hAnsi="仿宋" w:eastAsia="仿宋" w:cs="仿宋"/>
                <w:position w:val="-14"/>
                <w:sz w:val="20"/>
                <w:szCs w:val="20"/>
              </w:rPr>
              <w:t>~</w:t>
            </w:r>
          </w:p>
          <w:p>
            <w:pPr>
              <w:spacing w:before="1" w:line="181" w:lineRule="auto"/>
              <w:ind w:left="635"/>
              <w:rPr>
                <w:rFonts w:ascii="仿宋" w:hAnsi="仿宋" w:eastAsia="仿宋" w:cs="仿宋"/>
                <w:sz w:val="20"/>
                <w:szCs w:val="20"/>
              </w:rPr>
            </w:pPr>
            <w:r>
              <w:rPr>
                <w:rFonts w:ascii="仿宋" w:hAnsi="仿宋" w:eastAsia="仿宋" w:cs="仿宋"/>
                <w:spacing w:val="-3"/>
                <w:sz w:val="20"/>
                <w:szCs w:val="20"/>
              </w:rPr>
              <w:t>0</w:t>
            </w:r>
            <w:r>
              <w:rPr>
                <w:rFonts w:ascii="仿宋" w:hAnsi="仿宋" w:eastAsia="仿宋" w:cs="仿宋"/>
                <w:spacing w:val="13"/>
                <w:sz w:val="20"/>
                <w:szCs w:val="20"/>
              </w:rPr>
              <w:t xml:space="preserve"> </w:t>
            </w:r>
            <w:r>
              <w:rPr>
                <w:rFonts w:ascii="仿宋" w:hAnsi="仿宋" w:eastAsia="仿宋" w:cs="仿宋"/>
                <w:spacing w:val="-3"/>
                <w:sz w:val="20"/>
                <w:szCs w:val="20"/>
              </w:rPr>
              <w:t>25</w:t>
            </w:r>
          </w:p>
        </w:tc>
        <w:tc>
          <w:tcPr>
            <w:tcW w:w="1065" w:type="dxa"/>
            <w:tcBorders>
              <w:right w:val="single" w:color="000000" w:sz="8" w:space="0"/>
            </w:tcBorders>
            <w:vAlign w:val="top"/>
          </w:tcPr>
          <w:p>
            <w:pPr>
              <w:spacing w:before="88" w:line="36" w:lineRule="exact"/>
              <w:ind w:left="740"/>
              <w:rPr>
                <w:rFonts w:ascii="仿宋" w:hAnsi="仿宋" w:eastAsia="仿宋" w:cs="仿宋"/>
                <w:sz w:val="20"/>
                <w:szCs w:val="20"/>
              </w:rPr>
            </w:pPr>
            <w:r>
              <w:rPr>
                <w:rFonts w:ascii="仿宋" w:hAnsi="仿宋" w:eastAsia="仿宋" w:cs="仿宋"/>
                <w:position w:val="-14"/>
                <w:sz w:val="20"/>
                <w:szCs w:val="20"/>
              </w:rPr>
              <w:t>~</w:t>
            </w:r>
          </w:p>
          <w:p>
            <w:pPr>
              <w:spacing w:line="182" w:lineRule="auto"/>
              <w:ind w:right="8"/>
              <w:jc w:val="right"/>
              <w:rPr>
                <w:rFonts w:ascii="仿宋" w:hAnsi="仿宋" w:eastAsia="仿宋" w:cs="仿宋"/>
                <w:sz w:val="20"/>
                <w:szCs w:val="20"/>
              </w:rPr>
            </w:pPr>
            <w:r>
              <w:rPr>
                <w:rFonts w:ascii="仿宋" w:hAnsi="仿宋" w:eastAsia="仿宋" w:cs="仿宋"/>
                <w:spacing w:val="-7"/>
                <w:sz w:val="20"/>
                <w:szCs w:val="20"/>
              </w:rPr>
              <w:t>0</w:t>
            </w:r>
            <w:r>
              <w:rPr>
                <w:rFonts w:ascii="仿宋" w:hAnsi="仿宋" w:eastAsia="仿宋" w:cs="仿宋"/>
                <w:spacing w:val="25"/>
                <w:sz w:val="20"/>
                <w:szCs w:val="20"/>
              </w:rPr>
              <w:t xml:space="preserve"> </w:t>
            </w:r>
            <w:r>
              <w:rPr>
                <w:rFonts w:ascii="仿宋" w:hAnsi="仿宋" w:eastAsia="仿宋" w:cs="仿宋"/>
                <w:spacing w:val="-7"/>
                <w:sz w:val="20"/>
                <w:szCs w:val="20"/>
              </w:rPr>
              <w:t>10</w:t>
            </w:r>
          </w:p>
        </w:tc>
      </w:tr>
    </w:tbl>
    <w:p>
      <w:pPr>
        <w:pStyle w:val="11"/>
        <w:spacing w:line="270" w:lineRule="auto"/>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粗细集料中当怀疑有碱活性集料时，应进行碱集料反应检验确认无碱集料反应后，方可使用。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530" w:name="_Toc32643"/>
      <w:bookmarkStart w:id="531" w:name="_Toc23937"/>
      <w:bookmarkStart w:id="532" w:name="_Toc1514"/>
      <w:bookmarkStart w:id="533" w:name="_Toc7043"/>
      <w:bookmarkStart w:id="534" w:name="_Toc10128"/>
      <w:r>
        <w:rPr>
          <w:rFonts w:hint="eastAsia" w:asciiTheme="minorEastAsia" w:hAnsiTheme="minorEastAsia" w:eastAsiaTheme="minorEastAsia" w:cstheme="minorEastAsia"/>
          <w:sz w:val="24"/>
          <w:lang w:val="en-US" w:eastAsia="zh-CN"/>
        </w:rPr>
        <w:t>(4)水</w:t>
      </w:r>
      <w:bookmarkEnd w:id="530"/>
      <w:bookmarkEnd w:id="531"/>
      <w:bookmarkEnd w:id="532"/>
      <w:bookmarkEnd w:id="533"/>
      <w:bookmarkEnd w:id="53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水不得含有有害的可溶性盐类、能引起化学反应的物质和其它污染物，一般饮用水可直接作为混凝土搅拌和养护用水。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535" w:name="_Toc2480"/>
      <w:bookmarkStart w:id="536" w:name="_Toc18552"/>
      <w:bookmarkStart w:id="537" w:name="_Toc17310"/>
      <w:bookmarkStart w:id="538" w:name="_Toc30819"/>
      <w:bookmarkStart w:id="539" w:name="_Toc3930"/>
      <w:r>
        <w:rPr>
          <w:rFonts w:hint="eastAsia" w:asciiTheme="minorEastAsia" w:hAnsiTheme="minorEastAsia" w:eastAsiaTheme="minorEastAsia" w:cstheme="minorEastAsia"/>
          <w:sz w:val="24"/>
          <w:lang w:val="en-US" w:eastAsia="zh-CN"/>
        </w:rPr>
        <w:t>(5) 填缝材料</w:t>
      </w:r>
      <w:bookmarkEnd w:id="535"/>
      <w:bookmarkEnd w:id="536"/>
      <w:bookmarkEnd w:id="537"/>
      <w:bookmarkEnd w:id="538"/>
      <w:bookmarkEnd w:id="53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填缝材料的技术要求应符合下表的规定。本工程在常温施工时，填缝料宜采用聚氨酯。</w:t>
      </w:r>
    </w:p>
    <w:p>
      <w:pPr>
        <w:spacing w:line="24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填缝料技术要求                             表 7-6</w:t>
      </w:r>
    </w:p>
    <w:p>
      <w:pPr>
        <w:spacing w:line="118" w:lineRule="exact"/>
      </w:pPr>
    </w:p>
    <w:tbl>
      <w:tblPr>
        <w:tblStyle w:val="23"/>
        <w:tblW w:w="8642" w:type="dxa"/>
        <w:tblInd w:w="2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146"/>
        <w:gridCol w:w="2738"/>
        <w:gridCol w:w="275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3146" w:type="dxa"/>
            <w:tcBorders>
              <w:left w:val="single" w:color="000000" w:sz="8" w:space="0"/>
            </w:tcBorders>
            <w:vAlign w:val="top"/>
          </w:tcPr>
          <w:p>
            <w:pPr>
              <w:spacing w:before="30" w:line="232" w:lineRule="auto"/>
              <w:ind w:left="224"/>
              <w:rPr>
                <w:rFonts w:ascii="仿宋" w:hAnsi="仿宋" w:eastAsia="仿宋" w:cs="仿宋"/>
                <w:sz w:val="20"/>
                <w:szCs w:val="20"/>
              </w:rPr>
            </w:pPr>
            <w:r>
              <w:rPr>
                <w:rFonts w:ascii="仿宋" w:hAnsi="仿宋" w:eastAsia="仿宋" w:cs="仿宋"/>
                <w:spacing w:val="6"/>
                <w:sz w:val="20"/>
                <w:szCs w:val="20"/>
              </w:rPr>
              <w:t>试验项目</w:t>
            </w:r>
          </w:p>
        </w:tc>
        <w:tc>
          <w:tcPr>
            <w:tcW w:w="2738" w:type="dxa"/>
            <w:vAlign w:val="top"/>
          </w:tcPr>
          <w:p>
            <w:pPr>
              <w:spacing w:before="30" w:line="229" w:lineRule="auto"/>
              <w:ind w:left="222"/>
              <w:rPr>
                <w:rFonts w:ascii="仿宋" w:hAnsi="仿宋" w:eastAsia="仿宋" w:cs="仿宋"/>
                <w:sz w:val="20"/>
                <w:szCs w:val="20"/>
              </w:rPr>
            </w:pPr>
            <w:r>
              <w:rPr>
                <w:rFonts w:ascii="仿宋" w:hAnsi="仿宋" w:eastAsia="仿宋" w:cs="仿宋"/>
                <w:spacing w:val="5"/>
                <w:sz w:val="20"/>
                <w:szCs w:val="20"/>
              </w:rPr>
              <w:t>低弹性型</w:t>
            </w:r>
          </w:p>
        </w:tc>
        <w:tc>
          <w:tcPr>
            <w:tcW w:w="2758" w:type="dxa"/>
            <w:tcBorders>
              <w:right w:val="single" w:color="000000" w:sz="8" w:space="0"/>
            </w:tcBorders>
            <w:vAlign w:val="top"/>
          </w:tcPr>
          <w:p>
            <w:pPr>
              <w:spacing w:before="30" w:line="228" w:lineRule="auto"/>
              <w:ind w:left="242"/>
              <w:rPr>
                <w:rFonts w:ascii="仿宋" w:hAnsi="仿宋" w:eastAsia="仿宋" w:cs="仿宋"/>
                <w:sz w:val="20"/>
                <w:szCs w:val="20"/>
              </w:rPr>
            </w:pPr>
            <w:r>
              <w:rPr>
                <w:rFonts w:ascii="仿宋" w:hAnsi="仿宋" w:eastAsia="仿宋" w:cs="仿宋"/>
                <w:spacing w:val="2"/>
                <w:sz w:val="20"/>
                <w:szCs w:val="20"/>
              </w:rPr>
              <w:t>髙弹性型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3146" w:type="dxa"/>
            <w:tcBorders>
              <w:left w:val="single" w:color="000000" w:sz="8" w:space="0"/>
            </w:tcBorders>
            <w:vAlign w:val="top"/>
          </w:tcPr>
          <w:p>
            <w:pPr>
              <w:spacing w:before="96" w:line="229" w:lineRule="auto"/>
              <w:ind w:left="126"/>
              <w:rPr>
                <w:rFonts w:ascii="仿宋" w:hAnsi="仿宋" w:eastAsia="仿宋" w:cs="仿宋"/>
                <w:sz w:val="20"/>
                <w:szCs w:val="20"/>
              </w:rPr>
            </w:pPr>
            <w:r>
              <w:rPr>
                <w:rFonts w:ascii="仿宋" w:hAnsi="仿宋" w:eastAsia="仿宋" w:cs="仿宋"/>
                <w:spacing w:val="-5"/>
                <w:sz w:val="20"/>
                <w:szCs w:val="20"/>
              </w:rPr>
              <w:t>失粘</w:t>
            </w:r>
            <w:r>
              <w:rPr>
                <w:rFonts w:ascii="仿宋" w:hAnsi="仿宋" w:eastAsia="仿宋" w:cs="仿宋"/>
                <w:spacing w:val="49"/>
                <w:sz w:val="20"/>
                <w:szCs w:val="20"/>
              </w:rPr>
              <w:t xml:space="preserve"> </w:t>
            </w:r>
            <w:r>
              <w:rPr>
                <w:rFonts w:ascii="仿宋" w:hAnsi="仿宋" w:eastAsia="仿宋" w:cs="仿宋"/>
                <w:spacing w:val="-5"/>
                <w:sz w:val="20"/>
                <w:szCs w:val="20"/>
              </w:rPr>
              <w:t>(固化)时间</w:t>
            </w:r>
            <w:r>
              <w:rPr>
                <w:rFonts w:ascii="仿宋" w:hAnsi="仿宋" w:eastAsia="仿宋" w:cs="仿宋"/>
                <w:spacing w:val="42"/>
                <w:sz w:val="20"/>
                <w:szCs w:val="20"/>
              </w:rPr>
              <w:t xml:space="preserve"> </w:t>
            </w:r>
            <w:r>
              <w:rPr>
                <w:rFonts w:ascii="仿宋" w:hAnsi="仿宋" w:eastAsia="仿宋" w:cs="仿宋"/>
                <w:spacing w:val="-5"/>
                <w:sz w:val="20"/>
                <w:szCs w:val="20"/>
              </w:rPr>
              <w:t>(h)</w:t>
            </w:r>
          </w:p>
        </w:tc>
        <w:tc>
          <w:tcPr>
            <w:tcW w:w="2738" w:type="dxa"/>
            <w:vAlign w:val="top"/>
          </w:tcPr>
          <w:p>
            <w:pPr>
              <w:spacing w:before="101" w:line="36" w:lineRule="exact"/>
              <w:ind w:left="216"/>
              <w:rPr>
                <w:rFonts w:ascii="仿宋" w:hAnsi="仿宋" w:eastAsia="仿宋" w:cs="仿宋"/>
                <w:sz w:val="20"/>
                <w:szCs w:val="20"/>
              </w:rPr>
            </w:pPr>
            <w:r>
              <w:rPr>
                <w:rFonts w:ascii="仿宋" w:hAnsi="仿宋" w:eastAsia="仿宋" w:cs="仿宋"/>
                <w:position w:val="-14"/>
                <w:sz w:val="20"/>
                <w:szCs w:val="20"/>
              </w:rPr>
              <w:t>~</w:t>
            </w:r>
          </w:p>
          <w:p>
            <w:pPr>
              <w:spacing w:before="1" w:line="181" w:lineRule="auto"/>
              <w:ind w:left="114"/>
              <w:rPr>
                <w:rFonts w:ascii="仿宋" w:hAnsi="仿宋" w:eastAsia="仿宋" w:cs="仿宋"/>
                <w:sz w:val="20"/>
                <w:szCs w:val="20"/>
              </w:rPr>
            </w:pPr>
            <w:r>
              <w:rPr>
                <w:rFonts w:ascii="仿宋" w:hAnsi="仿宋" w:eastAsia="仿宋" w:cs="仿宋"/>
                <w:spacing w:val="-3"/>
                <w:sz w:val="20"/>
                <w:szCs w:val="20"/>
              </w:rPr>
              <w:t>6</w:t>
            </w:r>
            <w:r>
              <w:rPr>
                <w:rFonts w:ascii="仿宋" w:hAnsi="仿宋" w:eastAsia="仿宋" w:cs="仿宋"/>
                <w:spacing w:val="13"/>
                <w:sz w:val="20"/>
                <w:szCs w:val="20"/>
              </w:rPr>
              <w:t xml:space="preserve"> </w:t>
            </w:r>
            <w:r>
              <w:rPr>
                <w:rFonts w:ascii="仿宋" w:hAnsi="仿宋" w:eastAsia="仿宋" w:cs="仿宋"/>
                <w:spacing w:val="-3"/>
                <w:sz w:val="20"/>
                <w:szCs w:val="20"/>
              </w:rPr>
              <w:t>24</w:t>
            </w:r>
          </w:p>
        </w:tc>
        <w:tc>
          <w:tcPr>
            <w:tcW w:w="2758" w:type="dxa"/>
            <w:tcBorders>
              <w:right w:val="single" w:color="000000" w:sz="8" w:space="0"/>
            </w:tcBorders>
            <w:vAlign w:val="top"/>
          </w:tcPr>
          <w:p>
            <w:pPr>
              <w:spacing w:before="101" w:line="36" w:lineRule="exact"/>
              <w:ind w:left="221"/>
              <w:rPr>
                <w:rFonts w:ascii="仿宋" w:hAnsi="仿宋" w:eastAsia="仿宋" w:cs="仿宋"/>
                <w:sz w:val="20"/>
                <w:szCs w:val="20"/>
              </w:rPr>
            </w:pPr>
            <w:r>
              <w:rPr>
                <w:rFonts w:ascii="仿宋" w:hAnsi="仿宋" w:eastAsia="仿宋" w:cs="仿宋"/>
                <w:position w:val="-14"/>
                <w:sz w:val="20"/>
                <w:szCs w:val="20"/>
              </w:rPr>
              <w:t>~</w:t>
            </w:r>
          </w:p>
          <w:p>
            <w:pPr>
              <w:spacing w:line="182" w:lineRule="auto"/>
              <w:ind w:left="122"/>
              <w:rPr>
                <w:rFonts w:ascii="仿宋" w:hAnsi="仿宋" w:eastAsia="仿宋" w:cs="仿宋"/>
                <w:sz w:val="20"/>
                <w:szCs w:val="20"/>
              </w:rPr>
            </w:pPr>
            <w:r>
              <w:rPr>
                <w:rFonts w:ascii="仿宋" w:hAnsi="仿宋" w:eastAsia="仿宋" w:cs="仿宋"/>
                <w:spacing w:val="-8"/>
                <w:sz w:val="20"/>
                <w:szCs w:val="20"/>
              </w:rPr>
              <w:t>3</w:t>
            </w:r>
            <w:r>
              <w:rPr>
                <w:rFonts w:ascii="仿宋" w:hAnsi="仿宋" w:eastAsia="仿宋" w:cs="仿宋"/>
                <w:spacing w:val="25"/>
                <w:sz w:val="20"/>
                <w:szCs w:val="20"/>
              </w:rPr>
              <w:t xml:space="preserve"> </w:t>
            </w:r>
            <w:r>
              <w:rPr>
                <w:rFonts w:ascii="仿宋" w:hAnsi="仿宋" w:eastAsia="仿宋" w:cs="仿宋"/>
                <w:spacing w:val="-8"/>
                <w:sz w:val="20"/>
                <w:szCs w:val="20"/>
              </w:rPr>
              <w:t>16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6" w:hRule="atLeast"/>
        </w:trPr>
        <w:tc>
          <w:tcPr>
            <w:tcW w:w="3146" w:type="dxa"/>
            <w:tcBorders>
              <w:left w:val="single" w:color="000000" w:sz="8" w:space="0"/>
            </w:tcBorders>
            <w:vAlign w:val="top"/>
          </w:tcPr>
          <w:p>
            <w:pPr>
              <w:spacing w:before="100" w:line="227" w:lineRule="auto"/>
              <w:ind w:left="129"/>
              <w:rPr>
                <w:rFonts w:ascii="仿宋" w:hAnsi="仿宋" w:eastAsia="仿宋" w:cs="仿宋"/>
                <w:sz w:val="20"/>
                <w:szCs w:val="20"/>
              </w:rPr>
            </w:pPr>
            <w:r>
              <w:rPr>
                <w:rFonts w:ascii="仿宋" w:hAnsi="仿宋" w:eastAsia="仿宋" w:cs="仿宋"/>
                <w:spacing w:val="-3"/>
                <w:sz w:val="20"/>
                <w:szCs w:val="20"/>
              </w:rPr>
              <w:t>弹性复原率</w:t>
            </w:r>
            <w:r>
              <w:rPr>
                <w:rFonts w:ascii="仿宋" w:hAnsi="仿宋" w:eastAsia="仿宋" w:cs="仿宋"/>
                <w:spacing w:val="44"/>
                <w:sz w:val="20"/>
                <w:szCs w:val="20"/>
              </w:rPr>
              <w:t xml:space="preserve"> </w:t>
            </w:r>
            <w:r>
              <w:rPr>
                <w:rFonts w:ascii="仿宋" w:hAnsi="仿宋" w:eastAsia="仿宋" w:cs="仿宋"/>
                <w:spacing w:val="-3"/>
                <w:sz w:val="20"/>
                <w:szCs w:val="20"/>
              </w:rPr>
              <w:t>(%)</w:t>
            </w:r>
          </w:p>
        </w:tc>
        <w:tc>
          <w:tcPr>
            <w:tcW w:w="2738" w:type="dxa"/>
            <w:vAlign w:val="top"/>
          </w:tcPr>
          <w:p>
            <w:pPr>
              <w:spacing w:before="100" w:line="227" w:lineRule="auto"/>
              <w:ind w:left="134"/>
              <w:rPr>
                <w:rFonts w:ascii="仿宋" w:hAnsi="仿宋" w:eastAsia="仿宋" w:cs="仿宋"/>
                <w:sz w:val="20"/>
                <w:szCs w:val="20"/>
              </w:rPr>
            </w:pPr>
            <w:r>
              <w:rPr>
                <w:rFonts w:ascii="仿宋" w:hAnsi="仿宋" w:eastAsia="仿宋" w:cs="仿宋"/>
                <w:spacing w:val="-9"/>
                <w:sz w:val="20"/>
                <w:szCs w:val="20"/>
              </w:rPr>
              <w:t>≥</w:t>
            </w:r>
            <w:r>
              <w:rPr>
                <w:rFonts w:ascii="仿宋" w:hAnsi="仿宋" w:eastAsia="仿宋" w:cs="仿宋"/>
                <w:spacing w:val="9"/>
                <w:sz w:val="20"/>
                <w:szCs w:val="20"/>
              </w:rPr>
              <w:t xml:space="preserve"> </w:t>
            </w:r>
            <w:r>
              <w:rPr>
                <w:rFonts w:ascii="仿宋" w:hAnsi="仿宋" w:eastAsia="仿宋" w:cs="仿宋"/>
                <w:spacing w:val="-9"/>
                <w:sz w:val="20"/>
                <w:szCs w:val="20"/>
              </w:rPr>
              <w:t>75</w:t>
            </w:r>
          </w:p>
        </w:tc>
        <w:tc>
          <w:tcPr>
            <w:tcW w:w="2758" w:type="dxa"/>
            <w:tcBorders>
              <w:right w:val="single" w:color="000000" w:sz="8" w:space="0"/>
            </w:tcBorders>
            <w:vAlign w:val="top"/>
          </w:tcPr>
          <w:p>
            <w:pPr>
              <w:spacing w:before="100" w:line="227" w:lineRule="auto"/>
              <w:ind w:left="139"/>
              <w:rPr>
                <w:rFonts w:ascii="仿宋" w:hAnsi="仿宋" w:eastAsia="仿宋" w:cs="仿宋"/>
                <w:sz w:val="20"/>
                <w:szCs w:val="20"/>
              </w:rPr>
            </w:pPr>
            <w:r>
              <w:rPr>
                <w:rFonts w:ascii="仿宋" w:hAnsi="仿宋" w:eastAsia="仿宋" w:cs="仿宋"/>
                <w:spacing w:val="-7"/>
                <w:sz w:val="20"/>
                <w:szCs w:val="20"/>
              </w:rPr>
              <w:t>≥</w:t>
            </w:r>
            <w:r>
              <w:rPr>
                <w:rFonts w:ascii="仿宋" w:hAnsi="仿宋" w:eastAsia="仿宋" w:cs="仿宋"/>
                <w:spacing w:val="6"/>
                <w:sz w:val="20"/>
                <w:szCs w:val="20"/>
              </w:rPr>
              <w:t xml:space="preserve"> </w:t>
            </w:r>
            <w:r>
              <w:rPr>
                <w:rFonts w:ascii="仿宋" w:hAnsi="仿宋" w:eastAsia="仿宋" w:cs="仿宋"/>
                <w:spacing w:val="-7"/>
                <w:sz w:val="20"/>
                <w:szCs w:val="20"/>
              </w:rPr>
              <w:t>90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3146" w:type="dxa"/>
            <w:tcBorders>
              <w:left w:val="single" w:color="000000" w:sz="8" w:space="0"/>
            </w:tcBorders>
            <w:vAlign w:val="top"/>
          </w:tcPr>
          <w:p>
            <w:pPr>
              <w:spacing w:before="101" w:line="225" w:lineRule="auto"/>
              <w:ind w:left="123"/>
              <w:rPr>
                <w:rFonts w:ascii="仿宋" w:hAnsi="仿宋" w:eastAsia="仿宋" w:cs="仿宋"/>
                <w:sz w:val="20"/>
                <w:szCs w:val="20"/>
              </w:rPr>
            </w:pPr>
            <w:r>
              <w:rPr>
                <w:rFonts w:ascii="仿宋" w:hAnsi="仿宋" w:eastAsia="仿宋" w:cs="仿宋"/>
                <w:spacing w:val="-4"/>
                <w:sz w:val="20"/>
                <w:szCs w:val="20"/>
              </w:rPr>
              <w:t>流动度</w:t>
            </w:r>
            <w:r>
              <w:rPr>
                <w:rFonts w:ascii="仿宋" w:hAnsi="仿宋" w:eastAsia="仿宋" w:cs="仿宋"/>
                <w:spacing w:val="41"/>
                <w:sz w:val="20"/>
                <w:szCs w:val="20"/>
              </w:rPr>
              <w:t xml:space="preserve"> </w:t>
            </w:r>
            <w:r>
              <w:rPr>
                <w:rFonts w:ascii="仿宋" w:hAnsi="仿宋" w:eastAsia="仿宋" w:cs="仿宋"/>
                <w:spacing w:val="-4"/>
                <w:sz w:val="20"/>
                <w:szCs w:val="20"/>
              </w:rPr>
              <w:t>(mm</w:t>
            </w:r>
            <w:r>
              <w:rPr>
                <w:rFonts w:ascii="仿宋" w:hAnsi="仿宋" w:eastAsia="仿宋" w:cs="仿宋"/>
                <w:spacing w:val="10"/>
                <w:sz w:val="20"/>
                <w:szCs w:val="20"/>
              </w:rPr>
              <w:t xml:space="preserve"> </w:t>
            </w:r>
            <w:r>
              <w:rPr>
                <w:rFonts w:ascii="仿宋" w:hAnsi="仿宋" w:eastAsia="仿宋" w:cs="仿宋"/>
                <w:spacing w:val="-4"/>
                <w:sz w:val="20"/>
                <w:szCs w:val="20"/>
              </w:rPr>
              <w:t>)</w:t>
            </w:r>
          </w:p>
        </w:tc>
        <w:tc>
          <w:tcPr>
            <w:tcW w:w="2738" w:type="dxa"/>
            <w:vAlign w:val="top"/>
          </w:tcPr>
          <w:p>
            <w:pPr>
              <w:spacing w:before="137" w:line="186" w:lineRule="auto"/>
              <w:ind w:left="114"/>
              <w:rPr>
                <w:rFonts w:ascii="仿宋" w:hAnsi="仿宋" w:eastAsia="仿宋" w:cs="仿宋"/>
                <w:sz w:val="20"/>
                <w:szCs w:val="20"/>
              </w:rPr>
            </w:pPr>
            <w:r>
              <w:rPr>
                <w:rFonts w:ascii="仿宋" w:hAnsi="仿宋" w:eastAsia="仿宋" w:cs="仿宋"/>
                <w:sz w:val="20"/>
                <w:szCs w:val="20"/>
              </w:rPr>
              <w:t>0</w:t>
            </w:r>
          </w:p>
        </w:tc>
        <w:tc>
          <w:tcPr>
            <w:tcW w:w="2758" w:type="dxa"/>
            <w:tcBorders>
              <w:right w:val="single" w:color="000000" w:sz="8" w:space="0"/>
            </w:tcBorders>
            <w:vAlign w:val="top"/>
          </w:tcPr>
          <w:p>
            <w:pPr>
              <w:spacing w:before="137" w:line="186" w:lineRule="auto"/>
              <w:ind w:left="119"/>
              <w:rPr>
                <w:rFonts w:ascii="仿宋" w:hAnsi="仿宋" w:eastAsia="仿宋" w:cs="仿宋"/>
                <w:sz w:val="20"/>
                <w:szCs w:val="20"/>
              </w:rPr>
            </w:pPr>
            <w:r>
              <w:rPr>
                <w:rFonts w:ascii="仿宋" w:hAnsi="仿宋" w:eastAsia="仿宋" w:cs="仿宋"/>
                <w:sz w:val="20"/>
                <w:szCs w:val="20"/>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3146" w:type="dxa"/>
            <w:tcBorders>
              <w:left w:val="single" w:color="000000" w:sz="8" w:space="0"/>
            </w:tcBorders>
            <w:vAlign w:val="top"/>
          </w:tcPr>
          <w:p>
            <w:pPr>
              <w:spacing w:before="101" w:line="225" w:lineRule="auto"/>
              <w:ind w:left="153"/>
              <w:rPr>
                <w:rFonts w:ascii="仿宋" w:hAnsi="仿宋" w:eastAsia="仿宋" w:cs="仿宋"/>
                <w:sz w:val="20"/>
                <w:szCs w:val="20"/>
              </w:rPr>
            </w:pPr>
            <w:r>
              <w:rPr>
                <w:rFonts w:ascii="仿宋" w:hAnsi="仿宋" w:eastAsia="仿宋" w:cs="仿宋"/>
                <w:spacing w:val="-4"/>
                <w:sz w:val="20"/>
                <w:szCs w:val="20"/>
              </w:rPr>
              <w:t>(-</w:t>
            </w:r>
            <w:r>
              <w:rPr>
                <w:rFonts w:ascii="仿宋" w:hAnsi="仿宋" w:eastAsia="仿宋" w:cs="仿宋"/>
                <w:spacing w:val="27"/>
                <w:sz w:val="20"/>
                <w:szCs w:val="20"/>
              </w:rPr>
              <w:t xml:space="preserve"> </w:t>
            </w:r>
            <w:r>
              <w:rPr>
                <w:rFonts w:ascii="仿宋" w:hAnsi="仿宋" w:eastAsia="仿宋" w:cs="仿宋"/>
                <w:spacing w:val="-4"/>
                <w:sz w:val="20"/>
                <w:szCs w:val="20"/>
              </w:rPr>
              <w:t>10C)拉伸量</w:t>
            </w:r>
            <w:r>
              <w:rPr>
                <w:rFonts w:ascii="仿宋" w:hAnsi="仿宋" w:eastAsia="仿宋" w:cs="仿宋"/>
                <w:spacing w:val="42"/>
                <w:sz w:val="20"/>
                <w:szCs w:val="20"/>
              </w:rPr>
              <w:t xml:space="preserve"> </w:t>
            </w:r>
            <w:r>
              <w:rPr>
                <w:rFonts w:ascii="仿宋" w:hAnsi="仿宋" w:eastAsia="仿宋" w:cs="仿宋"/>
                <w:spacing w:val="-4"/>
                <w:sz w:val="20"/>
                <w:szCs w:val="20"/>
              </w:rPr>
              <w:t>(mm )</w:t>
            </w:r>
          </w:p>
        </w:tc>
        <w:tc>
          <w:tcPr>
            <w:tcW w:w="2738" w:type="dxa"/>
            <w:vAlign w:val="top"/>
          </w:tcPr>
          <w:p>
            <w:pPr>
              <w:spacing w:before="101" w:line="225" w:lineRule="auto"/>
              <w:ind w:left="134"/>
              <w:rPr>
                <w:rFonts w:ascii="仿宋" w:hAnsi="仿宋" w:eastAsia="仿宋" w:cs="仿宋"/>
                <w:sz w:val="20"/>
                <w:szCs w:val="20"/>
              </w:rPr>
            </w:pPr>
            <w:r>
              <w:rPr>
                <w:rFonts w:ascii="仿宋" w:hAnsi="仿宋" w:eastAsia="仿宋" w:cs="仿宋"/>
                <w:spacing w:val="-12"/>
                <w:sz w:val="20"/>
                <w:szCs w:val="20"/>
              </w:rPr>
              <w:t>≥</w:t>
            </w:r>
            <w:r>
              <w:rPr>
                <w:rFonts w:ascii="仿宋" w:hAnsi="仿宋" w:eastAsia="仿宋" w:cs="仿宋"/>
                <w:spacing w:val="18"/>
                <w:sz w:val="20"/>
                <w:szCs w:val="20"/>
              </w:rPr>
              <w:t xml:space="preserve"> </w:t>
            </w:r>
            <w:r>
              <w:rPr>
                <w:rFonts w:ascii="仿宋" w:hAnsi="仿宋" w:eastAsia="仿宋" w:cs="仿宋"/>
                <w:spacing w:val="-12"/>
                <w:sz w:val="20"/>
                <w:szCs w:val="20"/>
              </w:rPr>
              <w:t>15</w:t>
            </w:r>
          </w:p>
        </w:tc>
        <w:tc>
          <w:tcPr>
            <w:tcW w:w="2758" w:type="dxa"/>
            <w:tcBorders>
              <w:right w:val="single" w:color="000000" w:sz="8" w:space="0"/>
            </w:tcBorders>
            <w:vAlign w:val="top"/>
          </w:tcPr>
          <w:p>
            <w:pPr>
              <w:spacing w:before="101" w:line="225" w:lineRule="auto"/>
              <w:ind w:left="139"/>
              <w:rPr>
                <w:rFonts w:ascii="仿宋" w:hAnsi="仿宋" w:eastAsia="仿宋" w:cs="仿宋"/>
                <w:sz w:val="20"/>
                <w:szCs w:val="20"/>
              </w:rPr>
            </w:pPr>
            <w:r>
              <w:rPr>
                <w:rFonts w:ascii="仿宋" w:hAnsi="仿宋" w:eastAsia="仿宋" w:cs="仿宋"/>
                <w:spacing w:val="-8"/>
                <w:sz w:val="20"/>
                <w:szCs w:val="20"/>
              </w:rPr>
              <w:t>≥</w:t>
            </w:r>
            <w:r>
              <w:rPr>
                <w:rFonts w:ascii="仿宋" w:hAnsi="仿宋" w:eastAsia="仿宋" w:cs="仿宋"/>
                <w:spacing w:val="9"/>
                <w:sz w:val="20"/>
                <w:szCs w:val="20"/>
              </w:rPr>
              <w:t xml:space="preserve"> </w:t>
            </w:r>
            <w:r>
              <w:rPr>
                <w:rFonts w:ascii="仿宋" w:hAnsi="仿宋" w:eastAsia="仿宋" w:cs="仿宋"/>
                <w:spacing w:val="-8"/>
                <w:sz w:val="20"/>
                <w:szCs w:val="20"/>
              </w:rPr>
              <w:t>25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6" w:hRule="atLeast"/>
        </w:trPr>
        <w:tc>
          <w:tcPr>
            <w:tcW w:w="3146" w:type="dxa"/>
            <w:tcBorders>
              <w:left w:val="single" w:color="000000" w:sz="8" w:space="0"/>
            </w:tcBorders>
            <w:vAlign w:val="top"/>
          </w:tcPr>
          <w:p>
            <w:pPr>
              <w:spacing w:before="103" w:line="224" w:lineRule="auto"/>
              <w:ind w:left="131"/>
              <w:rPr>
                <w:rFonts w:ascii="仿宋" w:hAnsi="仿宋" w:eastAsia="仿宋" w:cs="仿宋"/>
                <w:sz w:val="20"/>
                <w:szCs w:val="20"/>
              </w:rPr>
            </w:pPr>
            <w:r>
              <w:rPr>
                <w:rFonts w:ascii="仿宋" w:hAnsi="仿宋" w:eastAsia="仿宋" w:cs="仿宋"/>
                <w:sz w:val="20"/>
                <w:szCs w:val="20"/>
              </w:rPr>
              <w:t>与混凝土粘结强度</w:t>
            </w:r>
            <w:r>
              <w:rPr>
                <w:rFonts w:ascii="仿宋" w:hAnsi="仿宋" w:eastAsia="仿宋" w:cs="仿宋"/>
                <w:spacing w:val="41"/>
                <w:sz w:val="20"/>
                <w:szCs w:val="20"/>
              </w:rPr>
              <w:t xml:space="preserve"> </w:t>
            </w:r>
            <w:r>
              <w:rPr>
                <w:rFonts w:ascii="仿宋" w:hAnsi="仿宋" w:eastAsia="仿宋" w:cs="仿宋"/>
                <w:sz w:val="20"/>
                <w:szCs w:val="20"/>
              </w:rPr>
              <w:t>(MPa)</w:t>
            </w:r>
          </w:p>
        </w:tc>
        <w:tc>
          <w:tcPr>
            <w:tcW w:w="2738" w:type="dxa"/>
            <w:vAlign w:val="top"/>
          </w:tcPr>
          <w:p>
            <w:pPr>
              <w:spacing w:before="103" w:line="224" w:lineRule="auto"/>
              <w:ind w:left="134"/>
              <w:rPr>
                <w:rFonts w:ascii="仿宋" w:hAnsi="仿宋" w:eastAsia="仿宋" w:cs="仿宋"/>
                <w:sz w:val="20"/>
                <w:szCs w:val="20"/>
              </w:rPr>
            </w:pPr>
            <w:r>
              <w:rPr>
                <w:rFonts w:ascii="仿宋" w:hAnsi="仿宋" w:eastAsia="仿宋" w:cs="仿宋"/>
                <w:spacing w:val="-5"/>
                <w:sz w:val="20"/>
                <w:szCs w:val="20"/>
              </w:rPr>
              <w:t>≥</w:t>
            </w:r>
            <w:r>
              <w:rPr>
                <w:rFonts w:ascii="仿宋" w:hAnsi="仿宋" w:eastAsia="仿宋" w:cs="仿宋"/>
                <w:spacing w:val="6"/>
                <w:sz w:val="20"/>
                <w:szCs w:val="20"/>
              </w:rPr>
              <w:t xml:space="preserve"> </w:t>
            </w:r>
            <w:r>
              <w:rPr>
                <w:rFonts w:ascii="仿宋" w:hAnsi="仿宋" w:eastAsia="仿宋" w:cs="仿宋"/>
                <w:spacing w:val="-5"/>
                <w:sz w:val="20"/>
                <w:szCs w:val="20"/>
              </w:rPr>
              <w:t>0.2</w:t>
            </w:r>
          </w:p>
        </w:tc>
        <w:tc>
          <w:tcPr>
            <w:tcW w:w="2758" w:type="dxa"/>
            <w:tcBorders>
              <w:right w:val="single" w:color="000000" w:sz="8" w:space="0"/>
            </w:tcBorders>
            <w:vAlign w:val="top"/>
          </w:tcPr>
          <w:p>
            <w:pPr>
              <w:spacing w:before="103" w:line="224" w:lineRule="auto"/>
              <w:ind w:left="139"/>
              <w:rPr>
                <w:rFonts w:ascii="仿宋" w:hAnsi="仿宋" w:eastAsia="仿宋" w:cs="仿宋"/>
                <w:sz w:val="20"/>
                <w:szCs w:val="20"/>
              </w:rPr>
            </w:pPr>
            <w:r>
              <w:rPr>
                <w:rFonts w:ascii="仿宋" w:hAnsi="仿宋" w:eastAsia="仿宋" w:cs="仿宋"/>
                <w:spacing w:val="-5"/>
                <w:sz w:val="20"/>
                <w:szCs w:val="20"/>
              </w:rPr>
              <w:t>≥</w:t>
            </w:r>
            <w:r>
              <w:rPr>
                <w:rFonts w:ascii="仿宋" w:hAnsi="仿宋" w:eastAsia="仿宋" w:cs="仿宋"/>
                <w:spacing w:val="8"/>
                <w:sz w:val="20"/>
                <w:szCs w:val="20"/>
              </w:rPr>
              <w:t xml:space="preserve"> </w:t>
            </w:r>
            <w:r>
              <w:rPr>
                <w:rFonts w:ascii="仿宋" w:hAnsi="仿宋" w:eastAsia="仿宋" w:cs="仿宋"/>
                <w:spacing w:val="-5"/>
                <w:sz w:val="20"/>
                <w:szCs w:val="20"/>
              </w:rPr>
              <w:t>0.4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3" w:hRule="atLeast"/>
        </w:trPr>
        <w:tc>
          <w:tcPr>
            <w:tcW w:w="3146" w:type="dxa"/>
            <w:tcBorders>
              <w:left w:val="single" w:color="000000" w:sz="8" w:space="0"/>
            </w:tcBorders>
            <w:vAlign w:val="top"/>
          </w:tcPr>
          <w:p>
            <w:pPr>
              <w:spacing w:before="102" w:line="230" w:lineRule="auto"/>
              <w:ind w:left="124"/>
              <w:rPr>
                <w:rFonts w:ascii="仿宋" w:hAnsi="仿宋" w:eastAsia="仿宋" w:cs="仿宋"/>
                <w:sz w:val="20"/>
                <w:szCs w:val="20"/>
              </w:rPr>
            </w:pPr>
            <w:r>
              <w:rPr>
                <w:rFonts w:ascii="仿宋" w:hAnsi="仿宋" w:eastAsia="仿宋" w:cs="仿宋"/>
                <w:spacing w:val="-2"/>
                <w:sz w:val="20"/>
                <w:szCs w:val="20"/>
              </w:rPr>
              <w:t>粘结延伸率</w:t>
            </w:r>
            <w:r>
              <w:rPr>
                <w:rFonts w:ascii="仿宋" w:hAnsi="仿宋" w:eastAsia="仿宋" w:cs="仿宋"/>
                <w:spacing w:val="42"/>
                <w:sz w:val="20"/>
                <w:szCs w:val="20"/>
              </w:rPr>
              <w:t xml:space="preserve"> </w:t>
            </w:r>
            <w:r>
              <w:rPr>
                <w:rFonts w:ascii="仿宋" w:hAnsi="仿宋" w:eastAsia="仿宋" w:cs="仿宋"/>
                <w:spacing w:val="-2"/>
                <w:sz w:val="20"/>
                <w:szCs w:val="20"/>
              </w:rPr>
              <w:t>(%)</w:t>
            </w:r>
          </w:p>
        </w:tc>
        <w:tc>
          <w:tcPr>
            <w:tcW w:w="2738" w:type="dxa"/>
            <w:vAlign w:val="top"/>
          </w:tcPr>
          <w:p>
            <w:pPr>
              <w:spacing w:before="102" w:line="270" w:lineRule="exact"/>
              <w:ind w:left="134"/>
              <w:rPr>
                <w:rFonts w:ascii="仿宋" w:hAnsi="仿宋" w:eastAsia="仿宋" w:cs="仿宋"/>
                <w:sz w:val="20"/>
                <w:szCs w:val="20"/>
              </w:rPr>
            </w:pPr>
            <w:r>
              <w:rPr>
                <w:rFonts w:ascii="仿宋" w:hAnsi="仿宋" w:eastAsia="仿宋" w:cs="仿宋"/>
                <w:spacing w:val="-5"/>
                <w:position w:val="1"/>
                <w:sz w:val="20"/>
                <w:szCs w:val="20"/>
              </w:rPr>
              <w:t>≥</w:t>
            </w:r>
            <w:r>
              <w:rPr>
                <w:rFonts w:ascii="仿宋" w:hAnsi="仿宋" w:eastAsia="仿宋" w:cs="仿宋"/>
                <w:spacing w:val="6"/>
                <w:position w:val="1"/>
                <w:sz w:val="20"/>
                <w:szCs w:val="20"/>
              </w:rPr>
              <w:t xml:space="preserve"> </w:t>
            </w:r>
            <w:r>
              <w:rPr>
                <w:rFonts w:ascii="仿宋" w:hAnsi="仿宋" w:eastAsia="仿宋" w:cs="仿宋"/>
                <w:spacing w:val="-5"/>
                <w:position w:val="1"/>
                <w:sz w:val="20"/>
                <w:szCs w:val="20"/>
              </w:rPr>
              <w:t>200</w:t>
            </w:r>
          </w:p>
        </w:tc>
        <w:tc>
          <w:tcPr>
            <w:tcW w:w="2758" w:type="dxa"/>
            <w:tcBorders>
              <w:right w:val="single" w:color="000000" w:sz="8" w:space="0"/>
            </w:tcBorders>
            <w:vAlign w:val="top"/>
          </w:tcPr>
          <w:p>
            <w:pPr>
              <w:spacing w:before="102" w:line="270" w:lineRule="exact"/>
              <w:ind w:left="139"/>
              <w:rPr>
                <w:rFonts w:ascii="仿宋" w:hAnsi="仿宋" w:eastAsia="仿宋" w:cs="仿宋"/>
                <w:sz w:val="20"/>
                <w:szCs w:val="20"/>
              </w:rPr>
            </w:pPr>
            <w:r>
              <w:rPr>
                <w:rFonts w:ascii="仿宋" w:hAnsi="仿宋" w:eastAsia="仿宋" w:cs="仿宋"/>
                <w:spacing w:val="-4"/>
                <w:position w:val="1"/>
                <w:sz w:val="20"/>
                <w:szCs w:val="20"/>
              </w:rPr>
              <w:t>≥</w:t>
            </w:r>
            <w:r>
              <w:rPr>
                <w:rFonts w:ascii="仿宋" w:hAnsi="仿宋" w:eastAsia="仿宋" w:cs="仿宋"/>
                <w:spacing w:val="4"/>
                <w:position w:val="1"/>
                <w:sz w:val="20"/>
                <w:szCs w:val="20"/>
              </w:rPr>
              <w:t xml:space="preserve"> </w:t>
            </w:r>
            <w:r>
              <w:rPr>
                <w:rFonts w:ascii="仿宋" w:hAnsi="仿宋" w:eastAsia="仿宋" w:cs="仿宋"/>
                <w:spacing w:val="-4"/>
                <w:position w:val="1"/>
                <w:sz w:val="20"/>
                <w:szCs w:val="20"/>
              </w:rPr>
              <w:t>400</w:t>
            </w:r>
          </w:p>
        </w:tc>
      </w:tr>
    </w:tbl>
    <w:p>
      <w:pPr>
        <w:pStyle w:val="11"/>
        <w:spacing w:line="270" w:lineRule="auto"/>
      </w:pPr>
    </w:p>
    <w:p>
      <w:pPr>
        <w:pStyle w:val="9"/>
        <w:bidi w:val="0"/>
        <w:ind w:firstLine="482" w:firstLineChars="200"/>
        <w:rPr>
          <w:rFonts w:hint="eastAsia"/>
          <w:sz w:val="24"/>
          <w:szCs w:val="24"/>
          <w:lang w:val="en-US" w:eastAsia="zh-CN"/>
        </w:rPr>
      </w:pPr>
      <w:bookmarkStart w:id="540" w:name="_Toc3349"/>
      <w:bookmarkStart w:id="541" w:name="_Toc21625"/>
      <w:bookmarkStart w:id="542" w:name="_Toc13900"/>
      <w:r>
        <w:rPr>
          <w:rFonts w:hint="eastAsia" w:ascii="宋体" w:hAnsi="宋体" w:eastAsia="宋体" w:cs="宋体"/>
          <w:sz w:val="24"/>
          <w:szCs w:val="24"/>
          <w:lang w:val="en-US" w:eastAsia="zh-CN"/>
        </w:rPr>
        <w:t>4.3.2施工方法及技术措施</w:t>
      </w:r>
      <w:bookmarkEnd w:id="540"/>
      <w:bookmarkEnd w:id="541"/>
      <w:bookmarkEnd w:id="54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sz w:val="24"/>
          <w:lang w:val="en-US" w:eastAsia="zh-CN"/>
        </w:rPr>
      </w:pPr>
      <w:bookmarkStart w:id="543" w:name="_Toc27785"/>
      <w:bookmarkStart w:id="544" w:name="_Toc5349"/>
      <w:bookmarkStart w:id="545" w:name="_Toc22937"/>
      <w:bookmarkStart w:id="546" w:name="_Toc8092"/>
      <w:bookmarkStart w:id="547" w:name="_Toc991"/>
      <w:r>
        <w:rPr>
          <w:rFonts w:hint="eastAsia" w:asciiTheme="minorEastAsia" w:hAnsiTheme="minorEastAsia" w:eastAsiaTheme="minorEastAsia" w:cstheme="minorEastAsia"/>
          <w:sz w:val="24"/>
          <w:lang w:val="en-US" w:eastAsia="zh-CN"/>
        </w:rPr>
        <w:t>1、主动柔性防护网</w:t>
      </w:r>
      <w:bookmarkEnd w:id="543"/>
      <w:bookmarkEnd w:id="544"/>
      <w:bookmarkEnd w:id="545"/>
      <w:bookmarkEnd w:id="546"/>
      <w:bookmarkEnd w:id="54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548" w:name="_Toc2583"/>
      <w:bookmarkStart w:id="549" w:name="_Toc27619"/>
      <w:bookmarkStart w:id="550" w:name="_Toc22886"/>
      <w:bookmarkStart w:id="551" w:name="_Toc30098"/>
      <w:bookmarkStart w:id="552" w:name="_Toc19344"/>
      <w:r>
        <w:rPr>
          <w:rFonts w:hint="eastAsia" w:asciiTheme="minorEastAsia" w:hAnsiTheme="minorEastAsia" w:eastAsiaTheme="minorEastAsia" w:cstheme="minorEastAsia"/>
          <w:sz w:val="24"/>
          <w:lang w:val="en-US" w:eastAsia="zh-CN"/>
        </w:rPr>
        <w:t>(1) 一般要求</w:t>
      </w:r>
      <w:bookmarkEnd w:id="548"/>
      <w:bookmarkEnd w:id="549"/>
      <w:bookmarkEnd w:id="550"/>
      <w:bookmarkEnd w:id="551"/>
      <w:bookmarkEnd w:id="55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 坡面防护施工前，应按照图纸或监理人的指示做好准备工作，对破碎且不平整的边坡，必须将松动的浮石和岩渣清理，对坡面裂缝进行封闭处治。边坡修整后应平整、密实无溜滑体、蠕变体和松动岩体。修整边坡的弃渣应按有关规定堆放，不得污染环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在岩面上确定锚杆孔位，进行钻孔，孔深及孔径应符合图纸要求。钻孔完毕，应将孔内岩粉吹干净。</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553" w:name="_Toc4121"/>
      <w:bookmarkStart w:id="554" w:name="_Toc29089"/>
      <w:bookmarkStart w:id="555" w:name="_Toc8403"/>
      <w:bookmarkStart w:id="556" w:name="_Toc5344"/>
      <w:bookmarkStart w:id="557" w:name="_Toc26695"/>
      <w:r>
        <w:rPr>
          <w:rFonts w:hint="eastAsia" w:asciiTheme="minorEastAsia" w:hAnsiTheme="minorEastAsia" w:eastAsiaTheme="minorEastAsia" w:cstheme="minorEastAsia"/>
          <w:sz w:val="24"/>
          <w:lang w:val="en-US" w:eastAsia="zh-CN"/>
        </w:rPr>
        <w:t>（3)安装锚杆，同时在钻孔内灌注水泥砂浆。</w:t>
      </w:r>
      <w:bookmarkEnd w:id="553"/>
      <w:bookmarkEnd w:id="554"/>
      <w:bookmarkEnd w:id="555"/>
      <w:bookmarkEnd w:id="556"/>
      <w:bookmarkEnd w:id="55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 所有钢筋制作与安装应符合《公路桥涵施工技术规范》(JTG/T 3650-2020)的规定。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558" w:name="_Toc8759"/>
      <w:bookmarkStart w:id="559" w:name="_Toc18284"/>
      <w:bookmarkStart w:id="560" w:name="_Toc13695"/>
      <w:bookmarkStart w:id="561" w:name="_Toc17538"/>
      <w:bookmarkStart w:id="562" w:name="_Toc10512"/>
      <w:r>
        <w:rPr>
          <w:rFonts w:hint="eastAsia" w:asciiTheme="minorEastAsia" w:hAnsiTheme="minorEastAsia" w:eastAsiaTheme="minorEastAsia" w:cstheme="minorEastAsia"/>
          <w:sz w:val="24"/>
          <w:lang w:val="en-US" w:eastAsia="zh-CN"/>
        </w:rPr>
        <w:t>(2) 锚杆与挂网</w:t>
      </w:r>
      <w:bookmarkEnd w:id="558"/>
      <w:bookmarkEnd w:id="559"/>
      <w:bookmarkEnd w:id="560"/>
      <w:bookmarkEnd w:id="561"/>
      <w:bookmarkEnd w:id="56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 施工中严格按照如下顺序进行：清理边坡、设置锚杆孔、清孔、注浆、安装锚杆、进行其他坡面施工。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锚杆孔成孔及清孔应视不同地质条件选取合适的方法，报监理人批准后实施。应放线测量确定锚杆孔位(根据地形条件，孔间距可有0.3m的调整量)，并在每一孔位处凿一定深度不小于锚杆外露环套长度的凹坑，口径20c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sz w:val="24"/>
          <w:lang w:val="en-US" w:eastAsia="zh-CN"/>
        </w:rPr>
      </w:pPr>
      <w:bookmarkStart w:id="563" w:name="_Toc19566"/>
      <w:bookmarkStart w:id="564" w:name="_Toc31181"/>
      <w:bookmarkStart w:id="565" w:name="_Toc2537"/>
      <w:bookmarkStart w:id="566" w:name="_Toc11700"/>
      <w:bookmarkStart w:id="567" w:name="_Toc12945"/>
      <w:r>
        <w:rPr>
          <w:rFonts w:hint="eastAsia" w:asciiTheme="minorEastAsia" w:hAnsiTheme="minorEastAsia" w:eastAsiaTheme="minorEastAsia" w:cstheme="minorEastAsia"/>
          <w:sz w:val="24"/>
          <w:lang w:val="en-US" w:eastAsia="zh-CN"/>
        </w:rPr>
        <w:t>3) 锚杆杆体使用前应平直、除锈、除油。</w:t>
      </w:r>
      <w:bookmarkEnd w:id="563"/>
      <w:bookmarkEnd w:id="564"/>
      <w:bookmarkEnd w:id="565"/>
      <w:bookmarkEnd w:id="566"/>
      <w:bookmarkEnd w:id="56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 注浆用砂浆配合比：水泥：砂宜为 1 ：1~1：2 ，水灰比宜为 0.38~0.45。</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 砂浆应拌和均匀，随拌随用，一次拌和的砂浆应在初凝前用完，并严防石块、杂物混入。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 注浆开始或中途停止超过 30min 时，应用水或稀水泥浆润滑注浆罐及其管路。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 注浆时，浆体除孔口 200~300mm  外，应均匀充满全孔。锚杆插入后应居中固定。杆体外露部分应避免敲击、碰撞，3d 内不得悬吊重物。</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sz w:val="24"/>
          <w:lang w:val="en-US" w:eastAsia="zh-CN"/>
        </w:rPr>
      </w:pPr>
      <w:bookmarkStart w:id="568" w:name="_Toc1496"/>
      <w:bookmarkStart w:id="569" w:name="_Toc22996"/>
      <w:bookmarkStart w:id="570" w:name="_Toc28756"/>
      <w:bookmarkStart w:id="571" w:name="_Toc21087"/>
      <w:bookmarkStart w:id="572" w:name="_Toc23332"/>
      <w:r>
        <w:rPr>
          <w:rFonts w:hint="eastAsia" w:asciiTheme="minorEastAsia" w:hAnsiTheme="minorEastAsia" w:eastAsiaTheme="minorEastAsia" w:cstheme="minorEastAsia"/>
          <w:sz w:val="24"/>
          <w:lang w:val="en-US" w:eastAsia="zh-CN"/>
        </w:rPr>
        <w:t>8) 每段工程应取代表性段落对锚杆进行抗拔试验，要求锚杆抗</w:t>
      </w:r>
      <w:bookmarkEnd w:id="568"/>
      <w:bookmarkEnd w:id="569"/>
      <w:bookmarkEnd w:id="570"/>
      <w:bookmarkEnd w:id="571"/>
      <w:bookmarkEnd w:id="57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拔力大于图纸规定，通过试验修正施工参数，指导大面积施工。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sz w:val="24"/>
          <w:lang w:val="en-US" w:eastAsia="zh-CN"/>
        </w:rPr>
      </w:pPr>
      <w:bookmarkStart w:id="573" w:name="_Toc31973"/>
      <w:bookmarkStart w:id="574" w:name="_Toc4493"/>
      <w:bookmarkStart w:id="575" w:name="_Toc22661"/>
      <w:bookmarkStart w:id="576" w:name="_Toc23791"/>
      <w:bookmarkStart w:id="577" w:name="_Toc1694"/>
      <w:r>
        <w:rPr>
          <w:rFonts w:hint="eastAsia" w:asciiTheme="minorEastAsia" w:hAnsiTheme="minorEastAsia" w:eastAsiaTheme="minorEastAsia" w:cstheme="minorEastAsia"/>
          <w:sz w:val="24"/>
          <w:lang w:val="en-US" w:eastAsia="zh-CN"/>
        </w:rPr>
        <w:t>9) 挂网应符合图纸规定，并经监理人同意。</w:t>
      </w:r>
      <w:bookmarkEnd w:id="573"/>
      <w:bookmarkEnd w:id="574"/>
      <w:bookmarkEnd w:id="575"/>
      <w:bookmarkEnd w:id="576"/>
      <w:bookmarkEnd w:id="57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sz w:val="24"/>
          <w:lang w:val="en-US" w:eastAsia="zh-CN"/>
        </w:rPr>
      </w:pPr>
      <w:bookmarkStart w:id="578" w:name="_Toc15950"/>
      <w:bookmarkStart w:id="579" w:name="_Toc7959"/>
      <w:bookmarkStart w:id="580" w:name="_Toc5968"/>
      <w:bookmarkStart w:id="581" w:name="_Toc1110"/>
      <w:bookmarkStart w:id="582" w:name="_Toc4092"/>
      <w:r>
        <w:rPr>
          <w:rFonts w:hint="eastAsia" w:asciiTheme="minorEastAsia" w:hAnsiTheme="minorEastAsia" w:eastAsiaTheme="minorEastAsia" w:cstheme="minorEastAsia"/>
          <w:sz w:val="24"/>
          <w:lang w:val="en-US" w:eastAsia="zh-CN"/>
        </w:rPr>
        <w:t>(3) 主动防护网</w:t>
      </w:r>
      <w:bookmarkEnd w:id="578"/>
      <w:bookmarkEnd w:id="579"/>
      <w:bookmarkEnd w:id="580"/>
      <w:bookmarkEnd w:id="581"/>
      <w:bookmarkEnd w:id="58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sz w:val="24"/>
          <w:lang w:val="en-US" w:eastAsia="zh-CN"/>
        </w:rPr>
      </w:pPr>
      <w:bookmarkStart w:id="583" w:name="_Toc14664"/>
      <w:bookmarkStart w:id="584" w:name="_Toc3942"/>
      <w:bookmarkStart w:id="585" w:name="_Toc4076"/>
      <w:bookmarkStart w:id="586" w:name="_Toc5866"/>
      <w:bookmarkStart w:id="587" w:name="_Toc26134"/>
      <w:r>
        <w:rPr>
          <w:rFonts w:hint="eastAsia" w:asciiTheme="minorEastAsia" w:hAnsiTheme="minorEastAsia" w:eastAsiaTheme="minorEastAsia" w:cstheme="minorEastAsia"/>
          <w:sz w:val="24"/>
          <w:lang w:val="en-US" w:eastAsia="zh-CN"/>
        </w:rPr>
        <w:t>1) 支撑绳安装与调试</w:t>
      </w:r>
      <w:bookmarkEnd w:id="583"/>
      <w:bookmarkEnd w:id="584"/>
      <w:bookmarkEnd w:id="585"/>
      <w:bookmarkEnd w:id="586"/>
      <w:bookmarkEnd w:id="58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安装纵横向支撑绳，张拉紧后两端各用2~4个(支撑绳长度小于15m时为2个，大于30m时为 4个，其间为3个)绳卡与锚杆外露环套固定连接。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sz w:val="24"/>
          <w:lang w:val="en-US" w:eastAsia="zh-CN"/>
        </w:rPr>
      </w:pPr>
      <w:bookmarkStart w:id="588" w:name="_Toc30412"/>
      <w:bookmarkStart w:id="589" w:name="_Toc19111"/>
      <w:bookmarkStart w:id="590" w:name="_Toc31252"/>
      <w:bookmarkStart w:id="591" w:name="_Toc22447"/>
      <w:bookmarkStart w:id="592" w:name="_Toc6727"/>
      <w:r>
        <w:rPr>
          <w:rFonts w:hint="eastAsia" w:asciiTheme="minorEastAsia" w:hAnsiTheme="minorEastAsia" w:eastAsiaTheme="minorEastAsia" w:cstheme="minorEastAsia"/>
          <w:sz w:val="24"/>
          <w:lang w:val="en-US" w:eastAsia="zh-CN"/>
        </w:rPr>
        <w:t>2) 格栅网的铺挂</w:t>
      </w:r>
      <w:bookmarkEnd w:id="588"/>
      <w:bookmarkEnd w:id="589"/>
      <w:bookmarkEnd w:id="590"/>
      <w:bookmarkEnd w:id="591"/>
      <w:bookmarkEnd w:id="59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从上向下铺挂格栅网，格栅网间重叠宽度不小于5cm，两张格栅网间的缝合以及格栅网与支 撑绳间用φ1.2铁丝按1m间距进行扎结。</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sz w:val="24"/>
          <w:lang w:val="en-US" w:eastAsia="zh-CN"/>
        </w:rPr>
      </w:pPr>
      <w:bookmarkStart w:id="593" w:name="_Toc28646"/>
      <w:bookmarkStart w:id="594" w:name="_Toc20855"/>
      <w:bookmarkStart w:id="595" w:name="_Toc1644"/>
      <w:bookmarkStart w:id="596" w:name="_Toc18187"/>
      <w:bookmarkStart w:id="597" w:name="_Toc7266"/>
      <w:r>
        <w:rPr>
          <w:rFonts w:hint="eastAsia" w:asciiTheme="minorEastAsia" w:hAnsiTheme="minorEastAsia" w:eastAsiaTheme="minorEastAsia" w:cstheme="minorEastAsia"/>
          <w:sz w:val="24"/>
          <w:lang w:val="en-US" w:eastAsia="zh-CN"/>
        </w:rPr>
        <w:t>3) 钢绳网铺挂与缝合</w:t>
      </w:r>
      <w:bookmarkEnd w:id="593"/>
      <w:bookmarkEnd w:id="594"/>
      <w:bookmarkEnd w:id="595"/>
      <w:bookmarkEnd w:id="596"/>
      <w:bookmarkEnd w:id="59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从上向下铺设钢绳网并缝合，缝合绳为φ8钢绳，每张钢绳网均用一根缝合绳与四周支撑绳 进行缝合并预张拉，缝合绳两端用两个绳卡与网绳进行固定联结。</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sz w:val="24"/>
          <w:lang w:val="en-US" w:eastAsia="zh-CN"/>
        </w:rPr>
      </w:pPr>
      <w:bookmarkStart w:id="598" w:name="_Toc29900"/>
      <w:bookmarkStart w:id="599" w:name="_Toc4932"/>
      <w:bookmarkStart w:id="600" w:name="_Toc13183"/>
      <w:bookmarkStart w:id="601" w:name="_Toc32534"/>
      <w:bookmarkStart w:id="602" w:name="_Toc27822"/>
      <w:r>
        <w:rPr>
          <w:rFonts w:hint="eastAsia" w:asciiTheme="minorEastAsia" w:hAnsiTheme="minorEastAsia" w:eastAsiaTheme="minorEastAsia" w:cstheme="minorEastAsia"/>
          <w:sz w:val="24"/>
          <w:lang w:val="en-US" w:eastAsia="zh-CN"/>
        </w:rPr>
        <w:t>2、锚杆喷射混凝土</w:t>
      </w:r>
      <w:bookmarkEnd w:id="598"/>
      <w:bookmarkEnd w:id="599"/>
      <w:bookmarkEnd w:id="600"/>
      <w:bookmarkEnd w:id="601"/>
      <w:bookmarkEnd w:id="60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在边坡进行喷射混凝土前，必须将松散的喷射混凝土圬工清除， 边坡修整后应平整、密实， 无溜滑体、蠕变体和松动岩体，并使坡面保持一定湿度。在坡面上确定锚杆孔位，进行钻孔。钻孔完毕， 应将孔内岩粉吹干净。安装锚杆，同时在钻孔内灌注水泥砂浆。埋设 控制喷射混凝土土厚度的标志，铺设钢筋网。钢筋网应与锚杆连接牢固，其与岩面的间隙宜为 30mm。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锚喷混凝土施工完成后，坡面表面平整，无钢筋、铁丝外露现象。使用喷锚支护时锚杆杆体露出岩面的长度不应大于喷射混凝土的厚度。防护的表面平顺、密实无脱落现象。设置的伸缩缝整齐垂直，上下贯通。泄水孔坡度向外，无堵塞现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sz w:val="24"/>
          <w:lang w:val="en-US" w:eastAsia="zh-CN"/>
        </w:rPr>
      </w:pPr>
      <w:bookmarkStart w:id="603" w:name="_Toc1404"/>
      <w:bookmarkStart w:id="604" w:name="_Toc6020"/>
      <w:bookmarkStart w:id="605" w:name="_Toc21261"/>
      <w:bookmarkStart w:id="606" w:name="_Toc3086"/>
      <w:bookmarkStart w:id="607" w:name="_Toc1717"/>
      <w:r>
        <w:rPr>
          <w:rFonts w:hint="eastAsia" w:asciiTheme="minorEastAsia" w:hAnsiTheme="minorEastAsia" w:eastAsiaTheme="minorEastAsia" w:cstheme="minorEastAsia"/>
          <w:sz w:val="24"/>
          <w:lang w:val="en-US" w:eastAsia="zh-CN"/>
        </w:rPr>
        <w:t>3、水泥混凝土施工</w:t>
      </w:r>
      <w:bookmarkEnd w:id="603"/>
      <w:bookmarkEnd w:id="604"/>
      <w:bookmarkEnd w:id="605"/>
      <w:bookmarkEnd w:id="606"/>
      <w:bookmarkEnd w:id="60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 浇筑施工时，应注意维持填充材料的均匀，为避免塑性干缩开裂，可采用薄膜或雾化 喷水等方法补偿混凝土表面由于快速蒸发失去的水分。但在凝结前应避免直接洒水。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在最终抹面施工后，应尽快以覆盖和洒水养生。覆盖时不得损伤或污染混凝土的表面，在混凝土养生期间应保持湿润。混凝土的洒水养生时间应最少保持7d 。洒水次数以能保持混凝土表面经常处于湿润状态为度。当气温低于5C时应采取覆盖保温措施，不得向混凝土面上洒水。</w:t>
      </w:r>
    </w:p>
    <w:p>
      <w:pPr>
        <w:pStyle w:val="8"/>
        <w:bidi w:val="0"/>
        <w:ind w:firstLine="482" w:firstLineChars="200"/>
        <w:rPr>
          <w:rFonts w:hint="eastAsia" w:ascii="宋体" w:hAnsi="宋体" w:eastAsia="宋体" w:cs="宋体"/>
          <w:sz w:val="24"/>
          <w:szCs w:val="24"/>
          <w:lang w:val="en-US" w:eastAsia="zh-CN"/>
        </w:rPr>
      </w:pPr>
      <w:bookmarkStart w:id="608" w:name="_Toc25714"/>
      <w:bookmarkStart w:id="609" w:name="_Toc25922"/>
      <w:bookmarkStart w:id="610" w:name="_Toc21448"/>
      <w:r>
        <w:rPr>
          <w:rFonts w:hint="eastAsia" w:ascii="宋体" w:hAnsi="宋体" w:eastAsia="宋体" w:cs="宋体"/>
          <w:sz w:val="24"/>
          <w:szCs w:val="24"/>
          <w:lang w:val="en-US" w:eastAsia="zh-CN"/>
        </w:rPr>
        <w:t>4.4交通组织设计要求</w:t>
      </w:r>
      <w:bookmarkEnd w:id="608"/>
      <w:bookmarkEnd w:id="609"/>
      <w:bookmarkEnd w:id="61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施工交通组织要点采用“分段实施， 局部封道， 畅通优先 ”的原则。本工程拟在不断交的情况下进行施工。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由于施工过程中受外界干扰因素很多，施工时应严格遵守新颁布的《中华人民共和国安全生产法》(2014年12月1日颁布实施) 和《公路水运施工安全标准化指南》(交通运输部质量 监督局 2013年6月) ，按照《公路养护安全作业规程》(JTGH30-2015)及发包方 的要求和实际需要设置施工标志，路栏锥形交通路标等安全设施， 夜间应有反光或施工警告灯，必要时应 使用信号或派旗手管制交通, 确保行车安全和施工顺利进行。施工期间应做好交通组织和疏导工作，严格限制车速，并及时处理车辆故障、交通事故等突发事件，保证道路畅通。施工单位在。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施工前应与交管部门协商解决交通疏导和交通安全等有 关问题，并应取得交管部门的支持。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施工期间对将现状道路车流造成较大的影响，交通组织方案从点 、线、面三个层次进行考虑，处理 “施工-机动车 ”“施工-施工车辆”、“施工-施工人员”等关系。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(1)施工前期应采取交通组织宣传工作，并根据施工进展情况，随时了解施工组织变化，并及时向广大道路使用者宣传情况。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(2)施工期间按国家有关规定和规范设置并完善施工期间临时交通标志、标线、信号灯、护栏、警示灯等设施。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 根据车流量统计分析，工作日车流量相对较少，应尽量将施工安排在此时间段内。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(4)施工设备需停放在的堆放在紧急停车带时，需要设置完善的交通组织指引系统，引导车辆顺利通过施工设备停放区域。尤其在夜间或视线不良时段，应设置必要的照明、引导设施。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lang w:val="en-US" w:eastAsia="zh-CN"/>
        </w:rPr>
        <w:t>作业控制区布置严格按照《公路养护安全作业规程》 (JTGH30-2015)执行。</w:t>
      </w:r>
    </w:p>
    <w:p>
      <w:pPr>
        <w:pStyle w:val="7"/>
        <w:bidi w:val="0"/>
        <w:ind w:firstLine="562" w:firstLineChars="200"/>
        <w:rPr>
          <w:rFonts w:hint="eastAsia" w:ascii="宋体" w:hAnsi="宋体" w:eastAsia="宋体" w:cs="宋体"/>
          <w:sz w:val="28"/>
          <w:szCs w:val="28"/>
          <w:lang w:val="en-US" w:eastAsia="zh-CN"/>
        </w:rPr>
      </w:pPr>
      <w:bookmarkStart w:id="611" w:name="_Toc12644"/>
      <w:bookmarkStart w:id="612" w:name="_Toc11912"/>
      <w:bookmarkStart w:id="613" w:name="_Toc4268"/>
      <w:bookmarkStart w:id="614" w:name="_Toc4613"/>
      <w:bookmarkStart w:id="615" w:name="_Toc24876"/>
      <w:r>
        <w:rPr>
          <w:rFonts w:hint="eastAsia" w:ascii="宋体" w:hAnsi="宋体" w:eastAsia="宋体" w:cs="宋体"/>
          <w:sz w:val="28"/>
          <w:szCs w:val="28"/>
          <w:lang w:val="en-US" w:eastAsia="zh-CN"/>
        </w:rPr>
        <w:t>5.</w:t>
      </w:r>
      <w:r>
        <w:rPr>
          <w:rFonts w:hint="eastAsia" w:ascii="宋体" w:hAnsi="宋体" w:eastAsia="宋体" w:cs="宋体"/>
          <w:sz w:val="28"/>
          <w:szCs w:val="28"/>
        </w:rPr>
        <w:t>施工进度安排</w:t>
      </w:r>
      <w:bookmarkEnd w:id="611"/>
      <w:bookmarkEnd w:id="612"/>
      <w:bookmarkEnd w:id="613"/>
      <w:bookmarkEnd w:id="614"/>
      <w:bookmarkEnd w:id="615"/>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rPr>
          <w:rFonts w:hint="eastAsia" w:ascii="方正仿宋_GBK" w:hAnsi="方正仿宋_GBK" w:eastAsia="方正仿宋_GBK" w:cs="方正仿宋_GBK"/>
          <w:kern w:val="0"/>
          <w:sz w:val="24"/>
          <w:szCs w:val="24"/>
          <w:lang w:val="en-US" w:eastAsia="zh-CN" w:bidi="ar-SA"/>
        </w:rPr>
      </w:pPr>
      <w:r>
        <w:rPr>
          <w:rFonts w:hint="eastAsia" w:asciiTheme="minorEastAsia" w:hAnsiTheme="minorEastAsia" w:eastAsiaTheme="minorEastAsia" w:cstheme="minorEastAsia"/>
          <w:sz w:val="24"/>
          <w:lang w:val="en-US" w:eastAsia="zh-CN"/>
        </w:rPr>
        <w:t>保阜高速公路2023年边坡病害治理工程项目合同工期为3个月，计划8月下旬开工，10月下旬完工，11月上旬交工。该项目把</w:t>
      </w:r>
      <w:r>
        <w:rPr>
          <w:rFonts w:hint="eastAsia" w:asciiTheme="minorEastAsia" w:hAnsiTheme="minorEastAsia" w:eastAsiaTheme="minorEastAsia" w:cstheme="minorEastAsia"/>
          <w:kern w:val="0"/>
          <w:sz w:val="24"/>
          <w:szCs w:val="24"/>
          <w:lang w:val="en-US" w:eastAsia="zh-CN" w:bidi="ar-SA"/>
        </w:rPr>
        <w:t>边坡防护锚杆安装完成设为里程碑控制事件。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施工计划安排见施工进度横道图附页。</w:t>
      </w:r>
    </w:p>
    <w:p>
      <w:pPr>
        <w:pStyle w:val="7"/>
        <w:bidi w:val="0"/>
        <w:ind w:firstLine="562" w:firstLineChars="200"/>
        <w:rPr>
          <w:rFonts w:hint="eastAsia" w:ascii="宋体" w:hAnsi="宋体" w:eastAsia="宋体" w:cs="宋体"/>
          <w:sz w:val="28"/>
          <w:szCs w:val="28"/>
          <w:lang w:val="en-US" w:eastAsia="zh-CN"/>
        </w:rPr>
      </w:pPr>
      <w:bookmarkStart w:id="616" w:name="_Toc12991"/>
      <w:bookmarkStart w:id="617" w:name="_Toc26573"/>
      <w:bookmarkStart w:id="618" w:name="_Toc13092"/>
      <w:bookmarkStart w:id="619" w:name="_Toc8729"/>
      <w:bookmarkStart w:id="620" w:name="_Toc6495"/>
      <w:r>
        <w:rPr>
          <w:rFonts w:hint="eastAsia" w:ascii="宋体" w:hAnsi="宋体" w:eastAsia="宋体" w:cs="宋体"/>
          <w:sz w:val="28"/>
          <w:szCs w:val="28"/>
          <w:lang w:val="en-US" w:eastAsia="zh-CN"/>
        </w:rPr>
        <w:t>6.</w:t>
      </w:r>
      <w:r>
        <w:rPr>
          <w:rFonts w:hint="eastAsia" w:ascii="宋体" w:hAnsi="宋体" w:eastAsia="宋体" w:cs="宋体"/>
          <w:sz w:val="28"/>
          <w:szCs w:val="28"/>
        </w:rPr>
        <w:t>进度、质量、安全、环境等保证体系及措施</w:t>
      </w:r>
      <w:bookmarkEnd w:id="616"/>
      <w:bookmarkEnd w:id="617"/>
      <w:bookmarkEnd w:id="618"/>
      <w:bookmarkEnd w:id="619"/>
      <w:bookmarkEnd w:id="620"/>
    </w:p>
    <w:p>
      <w:pPr>
        <w:pStyle w:val="8"/>
        <w:bidi w:val="0"/>
        <w:ind w:firstLine="482" w:firstLineChars="200"/>
        <w:rPr>
          <w:rFonts w:hint="eastAsia" w:ascii="宋体" w:hAnsi="宋体" w:eastAsia="宋体" w:cs="宋体"/>
          <w:sz w:val="24"/>
          <w:szCs w:val="24"/>
          <w:lang w:val="en-US" w:eastAsia="zh-CN"/>
        </w:rPr>
      </w:pPr>
      <w:bookmarkStart w:id="621" w:name="_Toc7317"/>
      <w:bookmarkStart w:id="622" w:name="_Toc23922"/>
      <w:bookmarkStart w:id="623" w:name="_Toc17265"/>
      <w:r>
        <w:rPr>
          <w:rFonts w:hint="eastAsia" w:ascii="宋体" w:hAnsi="宋体" w:eastAsia="宋体" w:cs="宋体"/>
          <w:sz w:val="24"/>
          <w:szCs w:val="24"/>
          <w:lang w:val="en-US" w:eastAsia="zh-CN"/>
        </w:rPr>
        <w:t>6.1工期保证体系及保证措施</w:t>
      </w:r>
      <w:bookmarkEnd w:id="621"/>
      <w:bookmarkEnd w:id="622"/>
      <w:bookmarkEnd w:id="6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本工程建设工期紧任务重、质量要求高，为保证总体工期目标，公司将调集精干高效的管理人员和技术人员组建项目经理部，配备先进施工机械设备，选择有实力、作风硬、执行力强的施工队伍，通过科学的施工组织、先进的管理方法对本工程实行全过程、全方位管理，严格兑现投标承诺的人员及设备，建立以组织保障、技术保障、资源保障、现场管理保障等保证体系的工期保证体系，全面保证工期目标的顺利实现。</w:t>
      </w:r>
    </w:p>
    <w:p>
      <w:pPr>
        <w:pStyle w:val="9"/>
        <w:bidi w:val="0"/>
        <w:ind w:firstLine="562" w:firstLineChars="200"/>
        <w:rPr>
          <w:rFonts w:hint="eastAsia" w:ascii="宋体" w:hAnsi="宋体" w:eastAsia="宋体" w:cs="宋体"/>
          <w:sz w:val="28"/>
          <w:szCs w:val="28"/>
          <w:lang w:val="en-US" w:eastAsia="zh-CN"/>
        </w:rPr>
      </w:pPr>
      <w:bookmarkStart w:id="624" w:name="_Toc11014"/>
      <w:bookmarkStart w:id="625" w:name="_Toc4595"/>
      <w:bookmarkStart w:id="626" w:name="_Toc15589"/>
      <w:r>
        <w:rPr>
          <w:rFonts w:hint="eastAsia" w:ascii="宋体" w:hAnsi="宋体" w:eastAsia="宋体" w:cs="宋体"/>
          <w:sz w:val="28"/>
          <w:szCs w:val="28"/>
          <w:lang w:val="en-US" w:eastAsia="zh-CN"/>
        </w:rPr>
        <w:t>6.1.1工期目标</w:t>
      </w:r>
      <w:bookmarkEnd w:id="624"/>
      <w:bookmarkEnd w:id="625"/>
      <w:bookmarkEnd w:id="626"/>
    </w:p>
    <w:tbl>
      <w:tblPr>
        <w:tblStyle w:val="23"/>
        <w:tblW w:w="8362" w:type="dxa"/>
        <w:tblInd w:w="1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09"/>
        <w:gridCol w:w="3528"/>
        <w:gridCol w:w="412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709"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jc w:val="center"/>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序号</w:t>
            </w:r>
          </w:p>
        </w:tc>
        <w:tc>
          <w:tcPr>
            <w:tcW w:w="3528"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center"/>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项目名称</w:t>
            </w:r>
          </w:p>
        </w:tc>
        <w:tc>
          <w:tcPr>
            <w:tcW w:w="4125"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center"/>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工期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9" w:hRule="atLeast"/>
        </w:trPr>
        <w:tc>
          <w:tcPr>
            <w:tcW w:w="709"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jc w:val="center"/>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w:t>
            </w:r>
          </w:p>
        </w:tc>
        <w:tc>
          <w:tcPr>
            <w:tcW w:w="3528"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保阜高速公路 2023 年边坡病害治理工程</w:t>
            </w:r>
          </w:p>
        </w:tc>
        <w:tc>
          <w:tcPr>
            <w:tcW w:w="4125"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计划开工日期 2023 年 8 月下旬，计划完工日期2023 年 10 月下旬 。合同工期3 个月， 缺陷责任期 12 个月。</w:t>
            </w:r>
          </w:p>
        </w:tc>
      </w:tr>
    </w:tbl>
    <w:p>
      <w:pPr>
        <w:pStyle w:val="10"/>
        <w:bidi w:val="0"/>
        <w:ind w:firstLine="482" w:firstLineChars="200"/>
        <w:rPr>
          <w:rFonts w:hint="eastAsia" w:ascii="宋体" w:hAnsi="宋体" w:eastAsia="宋体" w:cs="宋体"/>
          <w:lang w:val="en-US" w:eastAsia="zh-CN"/>
        </w:rPr>
      </w:pPr>
      <w:bookmarkStart w:id="627" w:name="_Toc13294"/>
      <w:r>
        <w:rPr>
          <w:rFonts w:hint="eastAsia" w:ascii="宋体" w:hAnsi="宋体" w:eastAsia="宋体" w:cs="宋体"/>
          <w:lang w:val="en-US" w:eastAsia="zh-CN"/>
        </w:rPr>
        <w:t>6.1.1.1合理优化工期目标</w:t>
      </w:r>
      <w:bookmarkEnd w:id="62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根据总工期要求，根据项目特点合理优化工期目标：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（1）我公司中标并在接到中标通知书后，立即组建组建“精干、高效、权威 ”的项目经理部，按承诺组织人员、机械进场，利用自身 经验丰富优势，第一时间完成前期开工手续审批及施工准备，在业主、监理监管下调动人员、物质、机械设备、资金，以满足施工组织和生产的需要。力争早开工、提前完工。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（2）建立从项目部到各施工班组的生产调度指挥系统。全面反馈 、及时解决影响施工进度的各种问题，加强对工程交叉、施工干扰的指挥与协调，对影响工期的重大关键问题超前研究，制定措施，及时配置或调整人、财、物、机，保证工程的连续性和均衡性。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（3）项目部根据施工条件及时调集人员、队伍、设备等各种源到达施工现场，确保本项目尽早开工、按期完工。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坚持按照“突出重点，兼顾一般 ”的原则均衡组织生产，在招标及合同文件确定的工期目标内全面完成施工任务。</w:t>
      </w:r>
    </w:p>
    <w:p>
      <w:pPr>
        <w:pStyle w:val="10"/>
        <w:bidi w:val="0"/>
        <w:ind w:firstLine="482" w:firstLineChars="200"/>
        <w:rPr>
          <w:rFonts w:hint="eastAsia"/>
          <w:lang w:val="en-US" w:eastAsia="zh-CN"/>
        </w:rPr>
      </w:pPr>
      <w:bookmarkStart w:id="628" w:name="_Toc9673"/>
      <w:r>
        <w:rPr>
          <w:rFonts w:hint="eastAsia" w:ascii="宋体" w:hAnsi="宋体" w:eastAsia="宋体" w:cs="宋体"/>
          <w:lang w:val="en-US" w:eastAsia="zh-CN"/>
        </w:rPr>
        <w:t>6.1.1.2拟定各阶段进度计划</w:t>
      </w:r>
      <w:bookmarkEnd w:id="62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在工程开工之前，应认真研究招标文件、合同文件等，考察工程现场，充分考虑可能影响工程进度的各种因素，认真会审设计图纸，科学合理的配置人员、机械设备，充分准备必要的施工物质，制定先进的施工工艺、科学合理的施工方案，按照监理人制定的施工组织计划指导意 见书的要求，编制具有可操作性的总体和分阶段或分部工程、分项工程实施性施工组织设计、施工进度计划和形象进度计划报监理人审批，发包人核备，进度细化至周计划。如遇特殊情况将根据业主现场调度具体安排，保证按期完工。</w:t>
      </w:r>
    </w:p>
    <w:p>
      <w:pPr>
        <w:pStyle w:val="9"/>
        <w:bidi w:val="0"/>
        <w:ind w:firstLine="482" w:firstLineChars="200"/>
        <w:rPr>
          <w:rFonts w:hint="eastAsia" w:asciiTheme="majorEastAsia" w:hAnsiTheme="majorEastAsia" w:eastAsiaTheme="majorEastAsia" w:cstheme="majorEastAsia"/>
          <w:sz w:val="24"/>
          <w:szCs w:val="24"/>
          <w:lang w:val="en-US" w:eastAsia="zh-CN"/>
        </w:rPr>
      </w:pPr>
      <w:bookmarkStart w:id="629" w:name="_Toc1249"/>
      <w:bookmarkStart w:id="630" w:name="_Toc29843"/>
      <w:bookmarkStart w:id="631" w:name="_Toc3047"/>
      <w:r>
        <w:rPr>
          <w:rFonts w:hint="eastAsia" w:asciiTheme="majorEastAsia" w:hAnsiTheme="majorEastAsia" w:eastAsiaTheme="majorEastAsia" w:cstheme="majorEastAsia"/>
          <w:sz w:val="24"/>
          <w:szCs w:val="24"/>
          <w:lang w:val="en-US" w:eastAsia="zh-CN"/>
        </w:rPr>
        <w:t>6.1.2工期保证体系</w:t>
      </w:r>
      <w:bookmarkEnd w:id="629"/>
      <w:bookmarkEnd w:id="630"/>
      <w:bookmarkEnd w:id="63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本项目建设任务重、工期紧、要求高，为保证工期目标，我公司将调集经验丰富、年富力强的高速公路工程施工管理和技术人员，配备先进的施工机械设备，组建选择实力强、作风硬、管理严的人员，投入到本工程项目中，严格兑现投标及合同承诺的人员及设备，建立以组织保证、技术保证、资源保证、现场管理保证的工期保证体系，全面保证工期目标的顺利实现。</w:t>
      </w:r>
    </w:p>
    <w:p>
      <w:pPr>
        <w:pStyle w:val="10"/>
        <w:bidi w:val="0"/>
        <w:ind w:firstLine="482" w:firstLineChars="200"/>
        <w:rPr>
          <w:rFonts w:hint="eastAsia"/>
          <w:lang w:val="en-US" w:eastAsia="zh-CN"/>
        </w:rPr>
      </w:pPr>
      <w:bookmarkStart w:id="632" w:name="_Toc22228"/>
      <w:r>
        <w:rPr>
          <w:rFonts w:hint="eastAsia" w:ascii="宋体" w:hAnsi="宋体" w:eastAsia="宋体" w:cs="宋体"/>
          <w:lang w:val="en-US" w:eastAsia="zh-CN"/>
        </w:rPr>
        <w:t>6.1.2.1工期保证体系说明</w:t>
      </w:r>
      <w:bookmarkEnd w:id="63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（1）做好组织保障，组织精干、有丰富实践经验人员、施工现场管理人员和熟悉技能操作人员进行施工管理，建立健全组织机构、职能分工。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实行统一工期目标管理，严格控制各养护单元的工期，在业主和监理工程师及各级管理机构的监督管理下，分级组织分级管理，建立计划工期与实际工期之间动态管理体系，及时调整人力物力，并进行严格的惩制度，确保工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（3）认真执行施工组织设计计划所确定的施工方案，施工方法和工期要求，对重点养护段落要提前组织、尽快落实，避免造成现场交通拥堵，影响整体工期。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做好物资、设备提供保障，根据总体工程量，提前与材料供商订购足够数量主材及相关辅材，避免因停工待料耽误工期；重要设备必须有备用设备，现场配备熟练操作及机械修理人员，保证机具设备的完好率，确保设备运行正常及现场生产的连续。</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施工队伍、设备进场及时，并充分做好开工前的准备工作：一是做熟悉设计文件，编制实施性施工组织设计，做好技术交底，做好原材检及配比工作；二是搞好物资准备，做好材料计划，疏通供渠道；三是做好现场安全导改组织工作，尽量提前得到交警路政部门批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（6）加强管理，在建设方的指导下，施工中做到统筹规划，周密安排，全方位有序协调，强化计划管理、网络管理、目标管理。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（7）通过科学组织、合理配置资源等手段优化工期，在保证施工安全和施工质量的要求的同时，采用平行流水作业等方式，保证机械化生产顺利进行，保证工程进度的落实。</w:t>
      </w:r>
    </w:p>
    <w:p>
      <w:pPr>
        <w:pStyle w:val="9"/>
        <w:bidi w:val="0"/>
        <w:ind w:firstLine="482" w:firstLineChars="200"/>
        <w:rPr>
          <w:rFonts w:hint="eastAsia"/>
          <w:lang w:val="en-US" w:eastAsia="zh-CN"/>
        </w:rPr>
      </w:pPr>
      <w:bookmarkStart w:id="633" w:name="_Toc20773"/>
      <w:bookmarkStart w:id="634" w:name="_Toc2878"/>
      <w:bookmarkStart w:id="635" w:name="_Toc15034"/>
      <w:r>
        <w:rPr>
          <w:rFonts w:hint="eastAsia" w:ascii="宋体" w:hAnsi="宋体" w:eastAsia="宋体" w:cs="宋体"/>
          <w:sz w:val="24"/>
          <w:szCs w:val="24"/>
          <w:lang w:val="en-US" w:eastAsia="zh-CN"/>
        </w:rPr>
        <w:t>6.1.3工期保证措施</w:t>
      </w:r>
      <w:bookmarkEnd w:id="633"/>
      <w:bookmarkEnd w:id="634"/>
      <w:bookmarkEnd w:id="635"/>
    </w:p>
    <w:p>
      <w:pPr>
        <w:pStyle w:val="10"/>
        <w:bidi w:val="0"/>
        <w:ind w:firstLine="482" w:firstLineChars="200"/>
        <w:rPr>
          <w:rFonts w:hint="eastAsia" w:ascii="宋体" w:hAnsi="宋体" w:eastAsia="宋体" w:cs="宋体"/>
          <w:lang w:val="en-US" w:eastAsia="zh-CN"/>
        </w:rPr>
      </w:pPr>
      <w:bookmarkStart w:id="636" w:name="_Toc6181"/>
      <w:r>
        <w:rPr>
          <w:rFonts w:hint="eastAsia" w:ascii="宋体" w:hAnsi="宋体" w:eastAsia="宋体" w:cs="宋体"/>
          <w:lang w:val="en-US" w:eastAsia="zh-CN"/>
        </w:rPr>
        <w:t>6.1.3.1组织保证措施</w:t>
      </w:r>
      <w:bookmarkEnd w:id="63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(1)成立工期保证领导小组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为确保工程按期完成，项目部成立工期保证领导小组，工期管理组织机构如下图。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drawing>
          <wp:inline distT="0" distB="0" distL="0" distR="0">
            <wp:extent cx="4771390" cy="3228975"/>
            <wp:effectExtent l="0" t="0" r="10160" b="9525"/>
            <wp:docPr id="2" name="IM 2572"/>
            <wp:cNvGraphicFramePr/>
            <a:graphic xmlns:a="http://schemas.openxmlformats.org/drawingml/2006/main">
              <a:graphicData uri="http://schemas.openxmlformats.org/drawingml/2006/picture">
                <pic:pic xmlns:pic="http://schemas.openxmlformats.org/drawingml/2006/picture">
                  <pic:nvPicPr>
                    <pic:cNvPr id="2" name="IM 2572"/>
                    <pic:cNvPicPr/>
                  </pic:nvPicPr>
                  <pic:blipFill>
                    <a:blip r:embed="rId12"/>
                    <a:stretch>
                      <a:fillRect/>
                    </a:stretch>
                  </pic:blipFill>
                  <pic:spPr>
                    <a:xfrm>
                      <a:off x="0" y="0"/>
                      <a:ext cx="4771643" cy="3229356"/>
                    </a:xfrm>
                    <a:prstGeom prst="rect">
                      <a:avLst/>
                    </a:prstGeom>
                  </pic:spPr>
                </pic:pic>
              </a:graphicData>
            </a:graphic>
          </wp:inline>
        </w:drawing>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2" w:firstLineChars="200"/>
        <w:jc w:val="left"/>
        <w:textAlignment w:val="auto"/>
        <w:rPr>
          <w:rFonts w:hint="eastAsia" w:ascii="仿宋" w:hAnsi="仿宋" w:eastAsia="仿宋" w:cs="仿宋"/>
          <w:b/>
          <w:bCs/>
          <w:sz w:val="24"/>
          <w:lang w:val="en-US" w:eastAsia="zh-CN"/>
        </w:rPr>
      </w:pPr>
      <w:r>
        <w:rPr>
          <w:rFonts w:hint="eastAsia" w:ascii="仿宋" w:hAnsi="仿宋" w:eastAsia="仿宋" w:cs="仿宋"/>
          <w:b/>
          <w:bCs/>
          <w:sz w:val="24"/>
          <w:lang w:val="en-US" w:eastAsia="zh-CN"/>
        </w:rPr>
        <w:t>工期保证领导小组组织机构框图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(2)做好施工前准备工作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尽快做好驻地场站建设、材料调查进场、路面病害勘察核实、四方确认，办理交警路政施工审批手续等施工准备工作。完成试验室建设，做好开工前材料检测和配合比组成设计；组织工程技术人员进行图纸会审，将图纸中存在的问题及时反馈设计代表、监理单位和业主单位并获得准确书面回复；精心编制实施性施工组织设计和施工方案，运用网络技术，编制工程进度计划，确定关键线路；编制施工机械及劳动力配置计划，及时组织进场。编制的交通组织方案及应急预案，报监理单位审查，并报相关主管部门审批，按审批后的交通组织措施进行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(3)发挥技术及设备优势，全力保障施工生产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组织具有施工经验的管理和技术人员参与本项目施工，以技术促进度、保工期；充分发挥我单位机械化程度高的优势，合理配备施工机械 , 建立机械保养、维修体系，保证施工机械的完好率；建立强有力的后勤保障体系，保证各种物资、设备按时足额到位。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(4)现场科学组织，加强工序衔接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按照平行流水作业模式组织施工，加强调度统计工作，减少各工序间的衔接时间，避免出现窝工现象；施工过程中及时分析控制工期的关键线路，合理调配人力、物力、财力和施工机械，使施工进度紧跟计划。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(5)开展生产竞赛，掀起施工高潮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施工中适时开展劳动生产竞赛活动，发扬“ 能攻善战、敢为人先、争创一流 ”的精神，加强思想教育，制定奖惩措施，凝心聚力，掀起施工高潮，迅速形成大干局面。</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(6)营造良好的施工环境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加强同建设单位、监理单位路政、交警及地方政府的联系，相互配合、相互支持，积极主动地接受监督和指导。</w:t>
      </w:r>
    </w:p>
    <w:p>
      <w:pPr>
        <w:pStyle w:val="10"/>
        <w:bidi w:val="0"/>
        <w:ind w:firstLine="482" w:firstLineChars="200"/>
        <w:rPr>
          <w:rFonts w:hint="eastAsia"/>
          <w:lang w:val="en-US" w:eastAsia="zh-CN"/>
        </w:rPr>
      </w:pPr>
      <w:bookmarkStart w:id="637" w:name="_Toc5566"/>
      <w:r>
        <w:rPr>
          <w:rFonts w:hint="eastAsia" w:ascii="宋体" w:hAnsi="宋体" w:eastAsia="宋体" w:cs="宋体"/>
          <w:lang w:val="en-US" w:eastAsia="zh-CN"/>
        </w:rPr>
        <w:t>6.1.3.2制度保证措施</w:t>
      </w:r>
      <w:bookmarkEnd w:id="63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1)建立、健全工期目标责任制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实行项目经理负责制，将本标段总工期及节点工期目标细化分解，并落实到各部门、各施工队和各班组。建立和健全工期目标责任制，项目经理与各职能业务部门负责人及各施工队和施工班组签订工期目标责任状，并将工期目标责任分解到每个参建员工身上，做到人人身上有指标，作为对员工业绩考核的主要指标，实行工期责任考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(2)明确项目管理层的责任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①负责对业主全面履约，在合同工期内，实现项目工期计划目标。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②制订并落实各施工阶段的工期计划。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③保证各种资源配置到位，根据进度动态配置各种生产要素。</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④跟踪控制生产过程，落实有关措施，实行目标管理，进行节点工期考核表现。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(3)明确项目作业层的责任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①执行各施工节点的工期计划。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②缩短工序作业间隔时间，提高综合效率。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③开展劳动竞赛，不断掀起施工高潮。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2)实施工程调度例会管理制度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现场设生产调度指挥系统，每天召开生产调度会，每周召开施工进度总结会，根据施工生产计划和安排，对施工活动进行调控和指挥，以日进度保周进度，以周进度保月进度，以月进度保总进度；做好对内对外的协调工作，对施工过程中出现的问题及时传达给有关部门和人员，确保施工各环节、各专业、各工种之间的平衡与协调，确保项目施工按进度计划顺利实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3)建立加班、值班制度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施工高峰期结合交通组织及施工节点计划，因需要实行昼夜连续施工的，须按程序经审批后实施。建立夜间加班、管理及安全人员值班值守制度，做好保障工作。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4)建立请示制度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重大问题或有严重影响工程施工进度的情况或与有关规定有冲突的事件，除特殊紧急情况须边处理边报告外，必须及时上报上级责任部门，做好与相关方的协调配合，不得擅自做出处理。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5)建立工作汇报例会制度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各分部负责人每天召开碰头会，每周（每月）召开周（月）工作汇报例会，及时解决工程难题，不影响工程进度。实行日报、旬报、月报、季报、年报和不定期汇报制度，汇报及时、真实，严禁弄虚作假。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6)建立检查调整制度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检查工程形象进度、计划及调度命令执行情况，现场问题的处理情况，文件资料的归档保存情况等，并及时予以通报，以督促采取措施改正施工安排和作业管理。建立健全系统的调度台帐和反馈渠道，包括重点工程台帐、主要项目完成情况台帐、劳动力台帐、主要机械设备台帐、气象预报及天气晴 雨登记台帐、劳务用工实名台帐等，及时绘制各类调度示意图，包括工程进度示意图、主要项目完成数量示意图、重点工程形象进度示意图，以便及时发现实际工程进度与计划进度的偏差，反馈给领导小组作为进行进度计划调整的依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7）施工进度计划检查和调整制度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施工进度的检查与进度计划的执行是融合在一起的。计划检查是计划执行的主要信息来源，是施工进度调整和分析的依据，是进度计划控制的关键步骤。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根据进度计划检查实际进度与计划偏差，当偏差超过5%时，立即实施预警，并认真寻找产生进度偏差的根源，分析进度偏差对后续工作产生的影响，及时调整施工计划，并采取必要的措施以确保进度目标实现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8）进度考核、奖罚制度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由于工期短、任务紧，每天、每周、每旬、每月进度动态监控，每旬进行评比考核，对组织不利、进度滞后的分部，亮黄牌督导处罚；对进度超前的进行褒奖。</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每月25日由我项目部编制一份月进度报告，月报包括以下内容：本月完成实物工程量及形象进度说明；相应于计划的实物工程量完成比例 ; 各施工班组劳动力投入情况；材料、设备供应情况；工程质量状况；施工安全状况；工程款支付、农民工工资发放情况；合同工期执行情况存在问题及处理措施；下月计划安排；反映工程主要形象进度的工程照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9）技术交底制度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在工程开工前由项目总工组织进行设计图纸会审，开工前对全体施工管理人员进行技术交底，对工程质量、工序、验收标准、图纸要求等逐一交底，并形成文字记录，避免因图纸差错导致施工错误，继而影响工期目标。各分项工程负责人在施工之前及时向作业班组做好详尽的技术交底，使施工人员熟知技术细节要求、安全操作要求等，并在施工过程中现场监控，杜绝技术责任事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10）坚持“三检 ”制度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工程施工过程中实行自检、互检、交接检的三检制度，严格按检</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验程序做好工序衔接，并及时报请监理抽检及第三方检测。</w:t>
      </w:r>
    </w:p>
    <w:p>
      <w:pPr>
        <w:pStyle w:val="10"/>
        <w:bidi w:val="0"/>
        <w:ind w:firstLine="482" w:firstLineChars="200"/>
        <w:rPr>
          <w:rFonts w:hint="eastAsia" w:ascii="宋体" w:hAnsi="宋体" w:eastAsia="宋体" w:cs="宋体"/>
          <w:lang w:val="en-US" w:eastAsia="zh-CN"/>
        </w:rPr>
      </w:pPr>
      <w:bookmarkStart w:id="638" w:name="_Toc2009"/>
      <w:r>
        <w:rPr>
          <w:rFonts w:hint="eastAsia" w:ascii="宋体" w:hAnsi="宋体" w:eastAsia="宋体" w:cs="宋体"/>
          <w:lang w:val="en-US" w:eastAsia="zh-CN"/>
        </w:rPr>
        <w:t>6.1.3.3技术保证措施</w:t>
      </w:r>
      <w:bookmarkEnd w:id="63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根据标段工程特点、工程量大小、施工工期及现场实际情况等编制有针对性、可操作性强施工组织、施工方案和技术交底编制施工组织设计，并制定详细的、有针对性和可操作性的施工方案，用于指导实际施工生产。并在每个分项或养护单元开工前，组织详细施工技术交底,明确技术要求及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2）科学组织、抓重点控关键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由于本工程工期较紧、任务重，本工程将成立QC质量控制小组，对质量影响以施工进度计划为先导，以先进的组织管理及成熟的施工经验为保障，通过预见及消除影响因素，控制关键工序及合理调配施工资源等措施组织施工生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3）通过 “ 四新 ”应用，提高施工进度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积极推广应用新技术、新材料、新工艺、新设备，大力开展创新活动，广泛提倡“小发明、小创造、小革新、小建议、小改进 ”的五小活动，并对影响施工进度的施工技术难题，开展QC小组活动，积极组织攻关，充分听取各方面的合理化建议，提高施工进度。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4）项目动态管理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利用网络图标等技术手段进行进度控制。现场建立计算机信息管理系统，全面及时掌握并迅速准确处理影响施工进度的各种问题。实现施工过程的有序可控。根据网络计划及重点部位和关键工序的控制点，压缩非关键线路时差和资源，紧抓关键线路各道工序和重难点攻关，确保关键线路进度，实现动态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5）规范化、标准化施工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采用先进的施工经验和技术，严格按照相关技术规范施工，确保工程质量目标、方案及技术措施；通过各项规章制度，加强现场安全保障,确保施工安全；做好环境保护工作，做到文明施工。避免质量、安全、环保诸方面造成工程的停顿、间断或返工，保证本工程能够顺利连续实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6）科学多种组织方式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科学组织合理安排施工顺序、工序作业及区段施工工序，确保主线路面施工期间不断交，作业方法总体采用平行流水作业。相同的工序在不同的施工段上平行作业，不同的工序采用流水作业。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7）对重点难点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对重点难点、影响工期的工程等编制实施性技术方案，对涉及安全的聘请专家论证等措施。并通过专家讲课、培训等方式，加强质量、安全控制，确保工程工期。</w:t>
      </w:r>
    </w:p>
    <w:p>
      <w:pPr>
        <w:pStyle w:val="10"/>
        <w:bidi w:val="0"/>
        <w:ind w:firstLine="482" w:firstLineChars="200"/>
        <w:rPr>
          <w:rFonts w:hint="eastAsia" w:ascii="宋体" w:hAnsi="宋体" w:eastAsia="宋体" w:cs="宋体"/>
          <w:lang w:val="en-US" w:eastAsia="zh-CN"/>
        </w:rPr>
      </w:pPr>
      <w:bookmarkStart w:id="639" w:name="_Toc2247"/>
      <w:r>
        <w:rPr>
          <w:rFonts w:hint="eastAsia" w:ascii="宋体" w:hAnsi="宋体" w:eastAsia="宋体" w:cs="宋体"/>
          <w:lang w:val="en-US" w:eastAsia="zh-CN"/>
        </w:rPr>
        <w:t>6.1.3.4资源保证措施</w:t>
      </w:r>
      <w:bookmarkEnd w:id="63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sz w:val="24"/>
          <w:lang w:val="en-US" w:eastAsia="zh-CN"/>
        </w:rPr>
      </w:pPr>
      <w:bookmarkStart w:id="640" w:name="_Toc17707"/>
      <w:bookmarkStart w:id="641" w:name="_Toc10151"/>
      <w:bookmarkStart w:id="642" w:name="_Toc28024"/>
      <w:bookmarkStart w:id="643" w:name="_Toc25526"/>
      <w:bookmarkStart w:id="644" w:name="_Toc30828"/>
      <w:r>
        <w:rPr>
          <w:rFonts w:hint="eastAsia" w:asciiTheme="minorEastAsia" w:hAnsiTheme="minorEastAsia" w:eastAsiaTheme="minorEastAsia" w:cstheme="minorEastAsia"/>
          <w:sz w:val="24"/>
          <w:lang w:val="en-US" w:eastAsia="zh-CN"/>
        </w:rPr>
        <w:fldChar w:fldCharType="begin"/>
      </w:r>
      <w:r>
        <w:rPr>
          <w:rFonts w:hint="eastAsia" w:asciiTheme="minorEastAsia" w:hAnsiTheme="minorEastAsia" w:eastAsiaTheme="minorEastAsia" w:cstheme="minorEastAsia"/>
          <w:sz w:val="24"/>
          <w:lang w:val="en-US" w:eastAsia="zh-CN"/>
        </w:rPr>
        <w:instrText xml:space="preserve"> HYPERLINK "3.3.4.1" </w:instrText>
      </w:r>
      <w:r>
        <w:rPr>
          <w:rFonts w:hint="eastAsia" w:asciiTheme="minorEastAsia" w:hAnsiTheme="minorEastAsia" w:eastAsiaTheme="minorEastAsia" w:cstheme="minorEastAsia"/>
          <w:sz w:val="24"/>
          <w:lang w:val="en-US" w:eastAsia="zh-CN"/>
        </w:rPr>
        <w:fldChar w:fldCharType="separate"/>
      </w:r>
      <w:r>
        <w:rPr>
          <w:rFonts w:hint="eastAsia" w:asciiTheme="minorEastAsia" w:hAnsiTheme="minorEastAsia" w:eastAsiaTheme="minorEastAsia" w:cstheme="minorEastAsia"/>
          <w:sz w:val="24"/>
          <w:lang w:val="en-US" w:eastAsia="zh-CN"/>
        </w:rPr>
        <w:t>1</w:t>
      </w:r>
      <w:r>
        <w:rPr>
          <w:rFonts w:hint="eastAsia" w:asciiTheme="minorEastAsia" w:hAnsiTheme="minorEastAsia" w:eastAsiaTheme="minorEastAsia" w:cstheme="minorEastAsia"/>
          <w:sz w:val="24"/>
          <w:lang w:val="en-US" w:eastAsia="zh-CN"/>
        </w:rPr>
        <w:fldChar w:fldCharType="end"/>
      </w:r>
      <w:r>
        <w:rPr>
          <w:rFonts w:hint="eastAsia" w:asciiTheme="minorEastAsia" w:hAnsiTheme="minorEastAsia" w:eastAsiaTheme="minorEastAsia" w:cstheme="minorEastAsia"/>
          <w:sz w:val="24"/>
          <w:lang w:val="en-US" w:eastAsia="zh-CN"/>
        </w:rPr>
        <w:t>、劳动力组织保障措施</w:t>
      </w:r>
      <w:bookmarkEnd w:id="640"/>
      <w:bookmarkEnd w:id="641"/>
      <w:bookmarkEnd w:id="642"/>
      <w:bookmarkEnd w:id="643"/>
      <w:bookmarkEnd w:id="64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劳动力的投入主要是指现场施工作业人员的投入素质、数量情况，以及对劳动力的合理调配，并对其实施有效的监督和管理，作好有关劳动力的计划、决策、组织、指挥、监督、协调等项的工作，达到最有效、最合理组织劳动力，以确保工期、质量、安全目标的实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sz w:val="24"/>
          <w:lang w:val="en-US" w:eastAsia="zh-CN"/>
        </w:rPr>
      </w:pPr>
      <w:bookmarkStart w:id="645" w:name="_Toc6097"/>
      <w:bookmarkStart w:id="646" w:name="_Toc8966"/>
      <w:bookmarkStart w:id="647" w:name="_Toc30594"/>
      <w:bookmarkStart w:id="648" w:name="_Toc15935"/>
      <w:bookmarkStart w:id="649" w:name="_Toc10657"/>
      <w:r>
        <w:rPr>
          <w:rFonts w:hint="eastAsia" w:asciiTheme="minorEastAsia" w:hAnsiTheme="minorEastAsia" w:eastAsiaTheme="minorEastAsia" w:cstheme="minorEastAsia"/>
          <w:sz w:val="24"/>
          <w:lang w:val="en-US" w:eastAsia="zh-CN"/>
        </w:rPr>
        <w:fldChar w:fldCharType="begin"/>
      </w:r>
      <w:r>
        <w:rPr>
          <w:rFonts w:hint="eastAsia" w:asciiTheme="minorEastAsia" w:hAnsiTheme="minorEastAsia" w:eastAsiaTheme="minorEastAsia" w:cstheme="minorEastAsia"/>
          <w:sz w:val="24"/>
          <w:lang w:val="en-US" w:eastAsia="zh-CN"/>
        </w:rPr>
        <w:instrText xml:space="preserve"> HYPERLINK "3.3.4.2" </w:instrText>
      </w:r>
      <w:r>
        <w:rPr>
          <w:rFonts w:hint="eastAsia" w:asciiTheme="minorEastAsia" w:hAnsiTheme="minorEastAsia" w:eastAsiaTheme="minorEastAsia" w:cstheme="minorEastAsia"/>
          <w:sz w:val="24"/>
          <w:lang w:val="en-US" w:eastAsia="zh-CN"/>
        </w:rPr>
        <w:fldChar w:fldCharType="separate"/>
      </w:r>
      <w:r>
        <w:rPr>
          <w:rFonts w:hint="eastAsia" w:asciiTheme="minorEastAsia" w:hAnsiTheme="minorEastAsia" w:eastAsiaTheme="minorEastAsia" w:cstheme="minorEastAsia"/>
          <w:sz w:val="24"/>
          <w:lang w:val="en-US" w:eastAsia="zh-CN"/>
        </w:rPr>
        <w:t>2</w:t>
      </w:r>
      <w:r>
        <w:rPr>
          <w:rFonts w:hint="eastAsia" w:asciiTheme="minorEastAsia" w:hAnsiTheme="minorEastAsia" w:eastAsiaTheme="minorEastAsia" w:cstheme="minorEastAsia"/>
          <w:sz w:val="24"/>
          <w:lang w:val="en-US" w:eastAsia="zh-CN"/>
        </w:rPr>
        <w:fldChar w:fldCharType="end"/>
      </w:r>
      <w:r>
        <w:rPr>
          <w:rFonts w:hint="eastAsia" w:asciiTheme="minorEastAsia" w:hAnsiTheme="minorEastAsia" w:eastAsiaTheme="minorEastAsia" w:cstheme="minorEastAsia"/>
          <w:sz w:val="24"/>
          <w:lang w:val="en-US" w:eastAsia="zh-CN"/>
        </w:rPr>
        <w:t>、材料保障措施</w:t>
      </w:r>
      <w:bookmarkEnd w:id="645"/>
      <w:bookmarkEnd w:id="646"/>
      <w:bookmarkEnd w:id="647"/>
      <w:bookmarkEnd w:id="648"/>
      <w:bookmarkEnd w:id="64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由于工程工期短，工程所需材料的及时投入是本工程按时完工的关键。本工程施工过程中所需用材料的投入主要根据工程施工进度及施工需求不同分批进场投入，材料供销合同必须提前签订并安排专人协调材料进场时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sz w:val="24"/>
          <w:lang w:val="en-US" w:eastAsia="zh-CN"/>
        </w:rPr>
      </w:pPr>
      <w:bookmarkStart w:id="650" w:name="_Toc25276"/>
      <w:bookmarkStart w:id="651" w:name="_Toc21175"/>
      <w:bookmarkStart w:id="652" w:name="_Toc22114"/>
      <w:bookmarkStart w:id="653" w:name="_Toc20297"/>
      <w:bookmarkStart w:id="654" w:name="_Toc19377"/>
      <w:r>
        <w:rPr>
          <w:rFonts w:hint="eastAsia" w:asciiTheme="minorEastAsia" w:hAnsiTheme="minorEastAsia" w:eastAsiaTheme="minorEastAsia" w:cstheme="minorEastAsia"/>
          <w:sz w:val="24"/>
          <w:lang w:val="en-US" w:eastAsia="zh-CN"/>
        </w:rPr>
        <w:fldChar w:fldCharType="begin"/>
      </w:r>
      <w:r>
        <w:rPr>
          <w:rFonts w:hint="eastAsia" w:asciiTheme="minorEastAsia" w:hAnsiTheme="minorEastAsia" w:eastAsiaTheme="minorEastAsia" w:cstheme="minorEastAsia"/>
          <w:sz w:val="24"/>
          <w:lang w:val="en-US" w:eastAsia="zh-CN"/>
        </w:rPr>
        <w:instrText xml:space="preserve"> HYPERLINK "3.3.4.3" </w:instrText>
      </w:r>
      <w:r>
        <w:rPr>
          <w:rFonts w:hint="eastAsia" w:asciiTheme="minorEastAsia" w:hAnsiTheme="minorEastAsia" w:eastAsiaTheme="minorEastAsia" w:cstheme="minorEastAsia"/>
          <w:sz w:val="24"/>
          <w:lang w:val="en-US" w:eastAsia="zh-CN"/>
        </w:rPr>
        <w:fldChar w:fldCharType="separate"/>
      </w:r>
      <w:r>
        <w:rPr>
          <w:rFonts w:hint="eastAsia" w:asciiTheme="minorEastAsia" w:hAnsiTheme="minorEastAsia" w:eastAsiaTheme="minorEastAsia" w:cstheme="minorEastAsia"/>
          <w:sz w:val="24"/>
          <w:lang w:val="en-US" w:eastAsia="zh-CN"/>
        </w:rPr>
        <w:t>3</w:t>
      </w:r>
      <w:r>
        <w:rPr>
          <w:rFonts w:hint="eastAsia" w:asciiTheme="minorEastAsia" w:hAnsiTheme="minorEastAsia" w:eastAsiaTheme="minorEastAsia" w:cstheme="minorEastAsia"/>
          <w:sz w:val="24"/>
          <w:lang w:val="en-US" w:eastAsia="zh-CN"/>
        </w:rPr>
        <w:fldChar w:fldCharType="end"/>
      </w:r>
      <w:r>
        <w:rPr>
          <w:rFonts w:hint="eastAsia" w:asciiTheme="minorEastAsia" w:hAnsiTheme="minorEastAsia" w:eastAsiaTheme="minorEastAsia" w:cstheme="minorEastAsia"/>
          <w:sz w:val="24"/>
          <w:lang w:val="en-US" w:eastAsia="zh-CN"/>
        </w:rPr>
        <w:t>、机械保障措施</w:t>
      </w:r>
      <w:bookmarkEnd w:id="650"/>
      <w:bookmarkEnd w:id="651"/>
      <w:bookmarkEnd w:id="652"/>
      <w:bookmarkEnd w:id="653"/>
      <w:bookmarkEnd w:id="65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根据本工程各工序特点，按合同要求及施工进度计划安排，配备充足、合理、先进、配套的施工机械和设备，确保设备的先进性及完整性。搞好设备维修保养，对主要易损件要有足够的零件储备，提高设备利用效率。</w:t>
      </w:r>
    </w:p>
    <w:p>
      <w:pPr>
        <w:pStyle w:val="10"/>
        <w:bidi w:val="0"/>
        <w:ind w:firstLine="482" w:firstLineChars="200"/>
        <w:outlineLvl w:val="1"/>
        <w:rPr>
          <w:rFonts w:hint="eastAsia"/>
          <w:lang w:val="en-US" w:eastAsia="zh-CN"/>
        </w:rPr>
      </w:pPr>
      <w:bookmarkStart w:id="655" w:name="_Toc13957"/>
      <w:bookmarkStart w:id="656" w:name="_Toc28264"/>
      <w:bookmarkStart w:id="657" w:name="_Toc17769"/>
      <w:bookmarkStart w:id="658" w:name="_Toc18254"/>
      <w:bookmarkStart w:id="659" w:name="_Toc12064"/>
      <w:r>
        <w:rPr>
          <w:rFonts w:hint="eastAsia" w:ascii="宋体" w:hAnsi="宋体" w:eastAsia="宋体" w:cs="宋体"/>
          <w:lang w:val="en-US" w:eastAsia="zh-CN"/>
        </w:rPr>
        <w:t>6.1.3.5进场或现场条件困难情况下的工期保证措施</w:t>
      </w:r>
      <w:bookmarkEnd w:id="655"/>
      <w:bookmarkEnd w:id="656"/>
      <w:bookmarkEnd w:id="657"/>
      <w:bookmarkEnd w:id="658"/>
      <w:bookmarkEnd w:id="65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本工程将严格按照施工计划，组织生产，但若因进场或现场条件困难影响计划工期，本公司将采取如下措施调整计划、追赶工期，确保总工期的实现：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1）分析现场条件困难的影响因素，多途径寻求解决办法，安排专人跟踪、协调。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2）优化施工方案，分区、分期进场组织施工，将影响降低到最小。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3）加大前期工作投入和力度，力争早日进场。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4）制定严密的赶工方案，将环境困难因素对关键线路和总工期的影响降至最低。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5）调整关键线路上工作内容的资源投入，如加大人员、周转材料、机械设备或资金的投入，加快施工进度。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6）备用一定数量的生产资金，便于及时解决现场突发状况，确保顺利进场和开展施工。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7）必要时报请业主调整施工任务，从本公司内部增调优秀专业作业队伍全力保证工期目标。</w:t>
      </w:r>
    </w:p>
    <w:p>
      <w:pPr>
        <w:pStyle w:val="9"/>
        <w:bidi w:val="0"/>
        <w:ind w:firstLine="482" w:firstLineChars="200"/>
        <w:rPr>
          <w:rFonts w:hint="eastAsia" w:ascii="宋体" w:hAnsi="宋体" w:eastAsia="宋体" w:cs="宋体"/>
          <w:sz w:val="24"/>
          <w:szCs w:val="24"/>
          <w:lang w:val="en-US" w:eastAsia="zh-CN"/>
        </w:rPr>
      </w:pPr>
      <w:bookmarkStart w:id="660" w:name="_Toc17544"/>
      <w:bookmarkStart w:id="661" w:name="_Toc13552"/>
      <w:bookmarkStart w:id="662" w:name="_Toc454"/>
      <w:r>
        <w:rPr>
          <w:rFonts w:hint="eastAsia" w:ascii="宋体" w:hAnsi="宋体" w:eastAsia="宋体" w:cs="宋体"/>
          <w:sz w:val="24"/>
          <w:szCs w:val="24"/>
          <w:lang w:val="en-US" w:eastAsia="zh-CN"/>
        </w:rPr>
        <w:t>6.1.4缺陷责任期内对工程的维护方案</w:t>
      </w:r>
      <w:bookmarkEnd w:id="660"/>
      <w:bookmarkEnd w:id="661"/>
      <w:bookmarkEnd w:id="662"/>
    </w:p>
    <w:p>
      <w:pPr>
        <w:pStyle w:val="10"/>
        <w:bidi w:val="0"/>
        <w:ind w:firstLine="482" w:firstLineChars="200"/>
        <w:outlineLvl w:val="1"/>
        <w:rPr>
          <w:rFonts w:hint="eastAsia" w:ascii="宋体" w:hAnsi="宋体" w:eastAsia="宋体" w:cs="宋体"/>
          <w:lang w:val="en-US" w:eastAsia="zh-CN"/>
        </w:rPr>
      </w:pPr>
      <w:bookmarkStart w:id="663" w:name="_Toc6931"/>
      <w:bookmarkStart w:id="664" w:name="_Toc24875"/>
      <w:bookmarkStart w:id="665" w:name="_Toc15385"/>
      <w:bookmarkStart w:id="666" w:name="_Toc13237"/>
      <w:bookmarkStart w:id="667" w:name="_Toc25760"/>
      <w:r>
        <w:rPr>
          <w:rFonts w:hint="eastAsia" w:ascii="宋体" w:hAnsi="宋体" w:eastAsia="宋体" w:cs="宋体"/>
          <w:lang w:val="en-US" w:eastAsia="zh-CN"/>
        </w:rPr>
        <w:t>6.1.4.1缺陷责任期</w:t>
      </w:r>
      <w:bookmarkEnd w:id="663"/>
      <w:bookmarkEnd w:id="664"/>
      <w:bookmarkEnd w:id="665"/>
      <w:bookmarkEnd w:id="666"/>
      <w:bookmarkEnd w:id="66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本工程缺陷责任期 12 个月。</w:t>
      </w:r>
    </w:p>
    <w:p>
      <w:pPr>
        <w:pStyle w:val="10"/>
        <w:bidi w:val="0"/>
        <w:ind w:firstLine="482" w:firstLineChars="200"/>
        <w:outlineLvl w:val="1"/>
        <w:rPr>
          <w:rFonts w:hint="eastAsia" w:ascii="宋体" w:hAnsi="宋体" w:eastAsia="宋体" w:cs="宋体"/>
          <w:lang w:val="en-US" w:eastAsia="zh-CN"/>
        </w:rPr>
      </w:pPr>
      <w:bookmarkStart w:id="668" w:name="_Toc14973"/>
      <w:bookmarkStart w:id="669" w:name="_Toc4716"/>
      <w:bookmarkStart w:id="670" w:name="_Toc364"/>
      <w:bookmarkStart w:id="671" w:name="_Toc2865"/>
      <w:bookmarkStart w:id="672" w:name="_Toc13411"/>
      <w:r>
        <w:rPr>
          <w:rFonts w:hint="eastAsia" w:ascii="宋体" w:hAnsi="宋体" w:eastAsia="宋体" w:cs="宋体"/>
          <w:lang w:val="en-US" w:eastAsia="zh-CN"/>
        </w:rPr>
        <w:t>6.1.4.2保修期内对工程的维护方案</w:t>
      </w:r>
      <w:bookmarkEnd w:id="668"/>
      <w:bookmarkEnd w:id="669"/>
      <w:bookmarkEnd w:id="670"/>
      <w:bookmarkEnd w:id="671"/>
      <w:bookmarkEnd w:id="67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（1）工程完工后，首先成立由项目总工为组长、技术干部及有关人员组成的工程竣工维护组，负责缺陷责任期和保修期内的工程维护工作。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缺陷责任期和保修期内维护组要定期对所有工程项目进行全面、仔细的检查，特别遇暴雨等人为不可抗拒的自然灾害后，要及时组织检查，对出现的工程缺陷要分析原因、登记清楚，及时向业主上报缺陷数量、缺陷范围、缺陷责任及原因等，并立即组织维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（3）缺陷责任期和保修期内的工程维护，要在不影响正常使用的情况下进行，必要时采取可行的防护措施，确实需要中断运行必须经业主同意。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（4）各项缺陷的修复必须符合规范要求，并取得监理工程师和业主代表认可。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（5）缺陷责任的维护分两种情况，若因承包人施工质量问题造成缺陷的，由承包人负责，并会同设计院做出修复方案设计，经报业主及 监理工程师审批后立即实施；若属设计原因或其他非承包人责任造成的缺陷，承包人要及时上报设计院和业主，并按设计院和业主批复的方案组织维修。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（6）本承包人成立的维修组还将对管段内设计方面不完善之处进行合理完善、补建，力求做到完美无缺。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7）本承包人将按照ISO9001：2000 系列标准要求，工程交付使用后，仍要不断取得联系，每3个月至半年至少回访一次，认真听取业主的使用情况及意见。</w:t>
      </w:r>
    </w:p>
    <w:p>
      <w:pPr>
        <w:pStyle w:val="8"/>
        <w:bidi w:val="0"/>
        <w:ind w:firstLine="482" w:firstLineChars="200"/>
        <w:rPr>
          <w:rFonts w:hint="eastAsia" w:ascii="宋体" w:hAnsi="宋体" w:eastAsia="宋体" w:cs="宋体"/>
          <w:sz w:val="24"/>
          <w:szCs w:val="24"/>
          <w:lang w:val="en-US" w:eastAsia="zh-CN"/>
        </w:rPr>
      </w:pPr>
      <w:bookmarkStart w:id="673" w:name="_Toc536"/>
      <w:bookmarkStart w:id="674" w:name="_Toc25570"/>
      <w:bookmarkStart w:id="675" w:name="_Toc20788"/>
      <w:r>
        <w:rPr>
          <w:rFonts w:hint="eastAsia" w:ascii="宋体" w:hAnsi="宋体" w:eastAsia="宋体" w:cs="宋体"/>
          <w:sz w:val="24"/>
          <w:szCs w:val="24"/>
          <w:lang w:val="en-US" w:eastAsia="zh-CN"/>
        </w:rPr>
        <w:t>6.2质量管理体系及保证措施</w:t>
      </w:r>
      <w:bookmarkEnd w:id="673"/>
      <w:bookmarkEnd w:id="674"/>
      <w:bookmarkEnd w:id="675"/>
    </w:p>
    <w:p>
      <w:pPr>
        <w:pStyle w:val="9"/>
        <w:bidi w:val="0"/>
        <w:ind w:firstLine="482" w:firstLineChars="200"/>
        <w:rPr>
          <w:rFonts w:hint="eastAsia" w:ascii="宋体" w:hAnsi="宋体" w:eastAsia="宋体" w:cs="宋体"/>
          <w:sz w:val="24"/>
          <w:szCs w:val="24"/>
          <w:lang w:val="en-US" w:eastAsia="zh-CN"/>
        </w:rPr>
      </w:pPr>
      <w:bookmarkStart w:id="676" w:name="_Toc582"/>
      <w:r>
        <w:rPr>
          <w:rFonts w:hint="eastAsia" w:ascii="宋体" w:hAnsi="宋体" w:eastAsia="宋体" w:cs="宋体"/>
          <w:sz w:val="24"/>
          <w:szCs w:val="24"/>
          <w:lang w:val="en-US" w:eastAsia="zh-CN"/>
        </w:rPr>
        <w:t>6.2.1质量目标</w:t>
      </w:r>
      <w:bookmarkEnd w:id="67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质量目标：工程交（竣）工验收的质量评定合格；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sz w:val="24"/>
          <w:szCs w:val="24"/>
          <w:lang w:val="en-US" w:eastAsia="zh-CN"/>
        </w:rPr>
        <w:t>质量具体控制目标：养护单元及养护工程一次验收合格率100%。</w:t>
      </w:r>
    </w:p>
    <w:p>
      <w:pPr>
        <w:pStyle w:val="9"/>
        <w:bidi w:val="0"/>
        <w:ind w:firstLine="482" w:firstLineChars="200"/>
        <w:rPr>
          <w:rFonts w:hint="eastAsia" w:ascii="宋体" w:hAnsi="宋体" w:eastAsia="宋体" w:cs="宋体"/>
          <w:sz w:val="24"/>
          <w:szCs w:val="24"/>
          <w:lang w:val="en-US" w:eastAsia="zh-CN"/>
        </w:rPr>
      </w:pPr>
      <w:bookmarkStart w:id="677" w:name="_Toc21290"/>
      <w:r>
        <w:rPr>
          <w:rFonts w:hint="eastAsia" w:ascii="宋体" w:hAnsi="宋体" w:eastAsia="宋体" w:cs="宋体"/>
          <w:sz w:val="24"/>
          <w:szCs w:val="24"/>
          <w:lang w:val="en-US" w:eastAsia="zh-CN"/>
        </w:rPr>
        <w:t>6.2.2质量管理体系</w:t>
      </w:r>
      <w:bookmarkEnd w:id="677"/>
    </w:p>
    <w:p>
      <w:pPr>
        <w:pStyle w:val="10"/>
        <w:bidi w:val="0"/>
        <w:ind w:firstLine="482" w:firstLineChars="200"/>
        <w:outlineLvl w:val="1"/>
        <w:rPr>
          <w:rFonts w:hint="eastAsia" w:ascii="宋体" w:hAnsi="宋体" w:eastAsia="宋体" w:cs="宋体"/>
          <w:b/>
          <w:bCs/>
          <w:lang w:val="en-US" w:eastAsia="zh-CN"/>
        </w:rPr>
      </w:pPr>
      <w:bookmarkStart w:id="678" w:name="_Toc10110"/>
      <w:bookmarkStart w:id="679" w:name="_Toc12334"/>
      <w:bookmarkStart w:id="680" w:name="_Toc887"/>
      <w:bookmarkStart w:id="681" w:name="_Toc18327"/>
      <w:bookmarkStart w:id="682" w:name="_Toc11232"/>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"4.2.1.1"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6.2.2.1</w:t>
      </w:r>
      <w:r>
        <w:rPr>
          <w:rFonts w:hint="eastAsia" w:ascii="宋体" w:hAnsi="宋体" w:eastAsia="宋体" w:cs="宋体"/>
          <w:lang w:val="en-US" w:eastAsia="zh-CN"/>
        </w:rPr>
        <w:fldChar w:fldCharType="end"/>
      </w:r>
      <w:r>
        <w:rPr>
          <w:rFonts w:hint="eastAsia" w:ascii="宋体" w:hAnsi="宋体" w:eastAsia="宋体" w:cs="宋体"/>
          <w:lang w:val="en-US" w:eastAsia="zh-CN"/>
        </w:rPr>
        <w:t xml:space="preserve"> 质量管理思想、原则</w:t>
      </w:r>
      <w:bookmarkEnd w:id="678"/>
      <w:bookmarkEnd w:id="679"/>
      <w:bookmarkEnd w:id="680"/>
      <w:bookmarkEnd w:id="681"/>
      <w:bookmarkEnd w:id="68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项目部建立健全符合工程实际情况的质量管理体系，编制程序化文件和质量管理手册，实行全员、全过程质量管理，从而保证工程的顺利实施和有效控制。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质量管理基本原则：坚持质量第一、以人为本、预防为主的原则，坚持质量标准、科学、客观、公平的原则。</w:t>
      </w:r>
    </w:p>
    <w:p>
      <w:pPr>
        <w:pStyle w:val="10"/>
        <w:bidi w:val="0"/>
        <w:ind w:firstLine="482" w:firstLineChars="200"/>
        <w:outlineLvl w:val="1"/>
        <w:rPr>
          <w:rFonts w:hint="eastAsia" w:ascii="宋体" w:hAnsi="宋体" w:eastAsia="宋体" w:cs="宋体"/>
          <w:lang w:val="en-US" w:eastAsia="zh-CN"/>
        </w:rPr>
      </w:pPr>
      <w:bookmarkStart w:id="683" w:name="_Toc9362"/>
      <w:bookmarkStart w:id="684" w:name="_Toc6283"/>
      <w:bookmarkStart w:id="685" w:name="_Toc13754"/>
      <w:bookmarkStart w:id="686" w:name="_Toc4386"/>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"4.2.1.2"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6.2.2.2</w:t>
      </w:r>
      <w:r>
        <w:rPr>
          <w:rFonts w:hint="eastAsia" w:ascii="宋体" w:hAnsi="宋体" w:eastAsia="宋体" w:cs="宋体"/>
          <w:lang w:val="en-US" w:eastAsia="zh-CN"/>
        </w:rPr>
        <w:fldChar w:fldCharType="end"/>
      </w:r>
      <w:r>
        <w:rPr>
          <w:rFonts w:hint="eastAsia" w:ascii="宋体" w:hAnsi="宋体" w:eastAsia="宋体" w:cs="宋体"/>
          <w:lang w:val="en-US" w:eastAsia="zh-CN"/>
        </w:rPr>
        <w:t xml:space="preserve"> 质量管理组织机构</w:t>
      </w:r>
      <w:bookmarkEnd w:id="683"/>
      <w:bookmarkEnd w:id="684"/>
      <w:bookmarkEnd w:id="685"/>
      <w:bookmarkEnd w:id="68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经理为质量管理第一责任人，项目总工程师为质量直接责任人,工程质量管理实行项目总工程师领导下的质检工程师负责制，通过专职质检员和各部门主管、施工队负责人，对工程进行全面控制、检测、信息反馈和质量问题的处理，同时接受监理工程师对整个工程质量的监督工作。</w:t>
      </w:r>
    </w:p>
    <w:p>
      <w:pPr>
        <w:pStyle w:val="10"/>
        <w:bidi w:val="0"/>
        <w:ind w:firstLine="482" w:firstLineChars="200"/>
        <w:outlineLvl w:val="1"/>
        <w:rPr>
          <w:rFonts w:hint="eastAsia" w:asciiTheme="minorEastAsia" w:hAnsiTheme="minorEastAsia" w:eastAsiaTheme="minorEastAsia" w:cstheme="minorEastAsia"/>
          <w:b/>
          <w:bCs/>
          <w:sz w:val="24"/>
          <w:lang w:val="en-US" w:eastAsia="zh-CN"/>
        </w:rPr>
      </w:pPr>
      <w:bookmarkStart w:id="687" w:name="_Toc10760"/>
      <w:bookmarkStart w:id="688" w:name="_Toc9046"/>
      <w:bookmarkStart w:id="689" w:name="_Toc9147"/>
      <w:bookmarkStart w:id="690" w:name="_Toc13665"/>
      <w:bookmarkStart w:id="691" w:name="_Toc17072"/>
      <w:r>
        <w:rPr>
          <w:rFonts w:hint="eastAsia" w:ascii="宋体" w:hAnsi="宋体" w:eastAsia="宋体" w:cs="宋体"/>
          <w:b/>
          <w:bCs/>
          <w:sz w:val="24"/>
          <w:lang w:val="en-US" w:eastAsia="zh-CN"/>
        </w:rPr>
        <w:fldChar w:fldCharType="begin"/>
      </w:r>
      <w:r>
        <w:rPr>
          <w:rFonts w:hint="eastAsia" w:ascii="宋体" w:hAnsi="宋体" w:eastAsia="宋体" w:cs="宋体"/>
          <w:b/>
          <w:bCs/>
          <w:sz w:val="24"/>
          <w:lang w:val="en-US" w:eastAsia="zh-CN"/>
        </w:rPr>
        <w:instrText xml:space="preserve"> HYPERLINK "4.2.1.3" </w:instrText>
      </w:r>
      <w:r>
        <w:rPr>
          <w:rFonts w:hint="eastAsia" w:ascii="宋体" w:hAnsi="宋体" w:eastAsia="宋体" w:cs="宋体"/>
          <w:b/>
          <w:bCs/>
          <w:sz w:val="24"/>
          <w:lang w:val="en-US" w:eastAsia="zh-CN"/>
        </w:rPr>
        <w:fldChar w:fldCharType="separate"/>
      </w:r>
      <w:r>
        <w:rPr>
          <w:rFonts w:hint="eastAsia" w:ascii="宋体" w:hAnsi="宋体" w:eastAsia="宋体" w:cs="宋体"/>
          <w:b/>
          <w:bCs/>
          <w:sz w:val="24"/>
          <w:lang w:val="en-US" w:eastAsia="zh-CN"/>
        </w:rPr>
        <w:t>6.2.2.3</w:t>
      </w:r>
      <w:r>
        <w:rPr>
          <w:rFonts w:hint="eastAsia" w:ascii="宋体" w:hAnsi="宋体" w:eastAsia="宋体" w:cs="宋体"/>
          <w:b/>
          <w:bCs/>
          <w:sz w:val="24"/>
          <w:lang w:val="en-US" w:eastAsia="zh-CN"/>
        </w:rPr>
        <w:fldChar w:fldCharType="end"/>
      </w:r>
      <w:r>
        <w:rPr>
          <w:rFonts w:hint="eastAsia" w:ascii="宋体" w:hAnsi="宋体" w:eastAsia="宋体" w:cs="宋体"/>
          <w:b/>
          <w:bCs/>
          <w:sz w:val="24"/>
          <w:lang w:val="en-US" w:eastAsia="zh-CN"/>
        </w:rPr>
        <w:t>人员及职责分工</w:t>
      </w:r>
      <w:bookmarkEnd w:id="687"/>
      <w:bookmarkEnd w:id="688"/>
      <w:bookmarkEnd w:id="689"/>
      <w:bookmarkEnd w:id="690"/>
      <w:bookmarkEnd w:id="69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692" w:name="_Toc1658"/>
      <w:bookmarkStart w:id="693" w:name="_Toc12543"/>
      <w:bookmarkStart w:id="694" w:name="_Toc17320"/>
      <w:bookmarkStart w:id="695" w:name="_Toc14483"/>
      <w:r>
        <w:rPr>
          <w:rFonts w:hint="eastAsia" w:asciiTheme="minorEastAsia" w:hAnsiTheme="minorEastAsia" w:eastAsiaTheme="minorEastAsia" w:cstheme="minorEastAsia"/>
          <w:b w:val="0"/>
          <w:bCs w:val="0"/>
          <w:sz w:val="24"/>
          <w:lang w:val="en-US" w:eastAsia="zh-CN"/>
        </w:rPr>
        <w:t>（1）项目经理质量职责</w:t>
      </w:r>
      <w:bookmarkEnd w:id="692"/>
      <w:bookmarkEnd w:id="693"/>
      <w:bookmarkEnd w:id="694"/>
      <w:bookmarkEnd w:id="6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项目经理是项目工程施工质量的第一责任人，对施工项目的质量管理工作及工程实体质量负直接领导责任。其质量管理职责是：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a保证国家、行业、地方的法律、法规、技术标准，以及企业的工程质量管理制度在项目实施中得到贯彻落实；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b建立施工项目的质量管理体系并保持其有效运行；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c组织对项目部全员的质量教育培训，提高项目部全员的施工质量意识；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d召集并主持施工项目的质量专题会议；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e按规定上报项目质量事故，并配合进行质量事故调查和处理。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696" w:name="_Toc23707"/>
      <w:bookmarkStart w:id="697" w:name="_Toc19812"/>
      <w:bookmarkStart w:id="698" w:name="_Toc21966"/>
      <w:bookmarkStart w:id="699" w:name="_Toc24629"/>
      <w:r>
        <w:rPr>
          <w:rFonts w:hint="eastAsia" w:asciiTheme="minorEastAsia" w:hAnsiTheme="minorEastAsia" w:eastAsiaTheme="minorEastAsia" w:cstheme="minorEastAsia"/>
          <w:b w:val="0"/>
          <w:bCs w:val="0"/>
          <w:sz w:val="24"/>
          <w:lang w:val="en-US" w:eastAsia="zh-CN"/>
        </w:rPr>
        <w:t>（2）项目总工程师质量职责</w:t>
      </w:r>
      <w:bookmarkEnd w:id="696"/>
      <w:bookmarkEnd w:id="697"/>
      <w:bookmarkEnd w:id="698"/>
      <w:bookmarkEnd w:id="69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项目总工程师对施工项目的工程质量负技术及管理责任。其质量管理职责是：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a组织严格执行国家、行业、地方的工程质量技术标准、规范，以及企业质量技术管理的规章制度；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b监督项目质量管理体系的运行，保证施工项目质量监督体系有效运行；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c开工前组织工程技术人员对施工图设计文件进行审核；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d保证项目施工组织设计、施工方案、技术措施满足项目质量目标与工程质量标准的要求，并监督其落实；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e根据施工项目的质量目标，主持编制项目质量策划及质量创优计划；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f组织开展施工项目质量管理小组（QC 小组）活动，研究解决施工质量缺陷或质量通病，以提质、降耗、增效、强管理为目标；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g保证项目施工测量和监测工作准确无误，保证试验检测数据反映施工质量的真实状况；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h保证施工资料的完整性、准确性；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i组织项目推广应用“ 四新 ”成果；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j参加项目质量验收工作；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k参与项目质量事故调查。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700" w:name="_Toc32750"/>
      <w:bookmarkStart w:id="701" w:name="_Toc29790"/>
      <w:bookmarkStart w:id="702" w:name="_Toc491"/>
      <w:bookmarkStart w:id="703" w:name="_Toc26055"/>
      <w:r>
        <w:rPr>
          <w:rFonts w:hint="eastAsia" w:asciiTheme="minorEastAsia" w:hAnsiTheme="minorEastAsia" w:eastAsiaTheme="minorEastAsia" w:cstheme="minorEastAsia"/>
          <w:b w:val="0"/>
          <w:bCs w:val="0"/>
          <w:sz w:val="24"/>
          <w:lang w:val="en-US" w:eastAsia="zh-CN"/>
        </w:rPr>
        <w:t>（3）项目副经理质量职责</w:t>
      </w:r>
      <w:bookmarkEnd w:id="700"/>
      <w:bookmarkEnd w:id="701"/>
      <w:bookmarkEnd w:id="702"/>
      <w:bookmarkEnd w:id="70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项目副经理对项目施工过程质量负直接领导责任。其质量管理职责是：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a严格执行本企业各项施工过程质量管理制度；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b坚持施工进度服从质量的原则，严格按批准的施工方案、技术措施和技术交底组织施工；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c对重点、关键施工部位组织项目责任工程师旁站监督；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d参加项目质量例会，对涉及施工过程管理的质量问题进行监督整改；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e参与项目质量事故调查。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704" w:name="_Toc31364"/>
      <w:bookmarkStart w:id="705" w:name="_Toc2262"/>
      <w:bookmarkStart w:id="706" w:name="_Toc30638"/>
      <w:bookmarkStart w:id="707" w:name="_Toc19981"/>
      <w:r>
        <w:rPr>
          <w:rFonts w:hint="eastAsia" w:asciiTheme="minorEastAsia" w:hAnsiTheme="minorEastAsia" w:eastAsiaTheme="minorEastAsia" w:cstheme="minorEastAsia"/>
          <w:b w:val="0"/>
          <w:bCs w:val="0"/>
          <w:sz w:val="24"/>
          <w:lang w:val="en-US" w:eastAsia="zh-CN"/>
        </w:rPr>
        <w:t>（4）项目质检工程师质量职责</w:t>
      </w:r>
      <w:bookmarkEnd w:id="704"/>
      <w:bookmarkEnd w:id="705"/>
      <w:bookmarkEnd w:id="706"/>
      <w:bookmarkEnd w:id="70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项目质检工程师对工程的质量负监督与确认的责任。其职责是：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a熟悉施工图设计文件和工程质量技术标准、规范；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b接受施工组织设计、施工方案交底，了解技术管理要求；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c参加对施工作业班组的技术交底，监督工艺、工序质量要求交底到位；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d依据对施工作业班组技术交底对施工作业面进行质量巡查，必要时旁站监督；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e协助现场工长实施对工序质量的过程控制；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f组织检验批内部质量检验及验收；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g会同建设方、监理方对检验批质量进行验收；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h发现工程质量存在隐患或经检查发现质量不合格时，应立即要求停止施工，并立即向项目分管领导报告；</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i参加项目各阶段工程质量验收，编制质量验收资料；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j参与项目质量事故调查；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k编制项目质量监督工作日志。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708" w:name="_Toc7958"/>
      <w:bookmarkStart w:id="709" w:name="_Toc11953"/>
      <w:bookmarkStart w:id="710" w:name="_Toc31107"/>
      <w:bookmarkStart w:id="711" w:name="_Toc27676"/>
      <w:r>
        <w:rPr>
          <w:rFonts w:hint="eastAsia" w:asciiTheme="minorEastAsia" w:hAnsiTheme="minorEastAsia" w:eastAsiaTheme="minorEastAsia" w:cstheme="minorEastAsia"/>
          <w:b w:val="0"/>
          <w:bCs w:val="0"/>
          <w:sz w:val="24"/>
          <w:lang w:val="en-US" w:eastAsia="zh-CN"/>
        </w:rPr>
        <w:t>（5）项目合同工程师质量职责</w:t>
      </w:r>
      <w:bookmarkEnd w:id="708"/>
      <w:bookmarkEnd w:id="709"/>
      <w:bookmarkEnd w:id="710"/>
      <w:bookmarkEnd w:id="71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项目合同工程师对施工项目合同中涉及工程质量的内容负责，保证施工项目相关合同文件满足工程质量目标的要求。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712" w:name="_Toc32348"/>
      <w:bookmarkStart w:id="713" w:name="_Toc17436"/>
      <w:bookmarkStart w:id="714" w:name="_Toc26474"/>
      <w:bookmarkStart w:id="715" w:name="_Toc22301"/>
      <w:r>
        <w:rPr>
          <w:rFonts w:hint="eastAsia" w:asciiTheme="minorEastAsia" w:hAnsiTheme="minorEastAsia" w:eastAsiaTheme="minorEastAsia" w:cstheme="minorEastAsia"/>
          <w:b w:val="0"/>
          <w:bCs w:val="0"/>
          <w:sz w:val="24"/>
          <w:lang w:val="en-US" w:eastAsia="zh-CN"/>
        </w:rPr>
        <w:t>（6）项目测量工程师质量职责</w:t>
      </w:r>
      <w:bookmarkEnd w:id="712"/>
      <w:bookmarkEnd w:id="713"/>
      <w:bookmarkEnd w:id="714"/>
      <w:bookmarkEnd w:id="71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项目测量工程师对施工现场各项测量成果数据的真实性、准确性负责，其质量管理职责是：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a使用合格的测量仪器进行各项测量作业；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b严格按测量技术规范和经批准的测量方案操作；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c真实记录和正确处理测量成果。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716" w:name="_Toc5013"/>
      <w:bookmarkStart w:id="717" w:name="_Toc22445"/>
      <w:bookmarkStart w:id="718" w:name="_Toc12467"/>
      <w:bookmarkStart w:id="719" w:name="_Toc7949"/>
      <w:r>
        <w:rPr>
          <w:rFonts w:hint="eastAsia" w:asciiTheme="minorEastAsia" w:hAnsiTheme="minorEastAsia" w:eastAsiaTheme="minorEastAsia" w:cstheme="minorEastAsia"/>
          <w:b w:val="0"/>
          <w:bCs w:val="0"/>
          <w:sz w:val="24"/>
          <w:lang w:val="en-US" w:eastAsia="zh-CN"/>
        </w:rPr>
        <w:t>（7）项目试验工程师质量职责</w:t>
      </w:r>
      <w:bookmarkEnd w:id="716"/>
      <w:bookmarkEnd w:id="717"/>
      <w:bookmarkEnd w:id="718"/>
      <w:bookmarkEnd w:id="71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项目试验工程师对试验检测工作的真实性、准确性、完整性负责，其质量管理职责是：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a保证施工项目试验室的试验检测能力、资格及配备和使用的试验检测仪器设备、试验检测环境符合有关技术规范和业主的规定；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b保证外委试验检测由具有相应资质的试验检测机构进行；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c严格按试验检测方案取样或进行工程实体质量抽检，保证试件的代表批量或工程实体检验数量符合有关技术规范的规定；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d严格按有关试验检测技术规范、规程操作；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e真实记录和正确处理试验检测结果。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720" w:name="_Toc24811"/>
      <w:bookmarkStart w:id="721" w:name="_Toc5139"/>
      <w:bookmarkStart w:id="722" w:name="_Toc16052"/>
      <w:bookmarkStart w:id="723" w:name="_Toc21250"/>
      <w:r>
        <w:rPr>
          <w:rFonts w:hint="eastAsia" w:asciiTheme="minorEastAsia" w:hAnsiTheme="minorEastAsia" w:eastAsiaTheme="minorEastAsia" w:cstheme="minorEastAsia"/>
          <w:b w:val="0"/>
          <w:bCs w:val="0"/>
          <w:sz w:val="24"/>
          <w:lang w:val="en-US" w:eastAsia="zh-CN"/>
        </w:rPr>
        <w:t>（8）项目材料设备工程师质量职责</w:t>
      </w:r>
      <w:bookmarkEnd w:id="720"/>
      <w:bookmarkEnd w:id="721"/>
      <w:bookmarkEnd w:id="722"/>
      <w:bookmarkEnd w:id="7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项目材料设备工程师负责对进场材料、设备的质量把关，其质量管理职责是：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a核对进场材料、设备的规格、型号，保证其符合采购合同或实时性施工组织设计的要求；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b核对进场材料、设备质量证明资料的真实性、完整性；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c参与进场材料、设备的开箱验收，并填写相关记录；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d负责进场材料的库存管理，按规定做好标识；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e协助进场材料的报验工作。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724" w:name="_Toc19638"/>
      <w:bookmarkStart w:id="725" w:name="_Toc13044"/>
      <w:bookmarkStart w:id="726" w:name="_Toc12595"/>
      <w:bookmarkStart w:id="727" w:name="_Toc899"/>
      <w:r>
        <w:rPr>
          <w:rFonts w:hint="eastAsia" w:asciiTheme="minorEastAsia" w:hAnsiTheme="minorEastAsia" w:eastAsiaTheme="minorEastAsia" w:cstheme="minorEastAsia"/>
          <w:b w:val="0"/>
          <w:bCs w:val="0"/>
          <w:sz w:val="24"/>
          <w:lang w:val="en-US" w:eastAsia="zh-CN"/>
        </w:rPr>
        <w:t>（9）现场技术员质量职责</w:t>
      </w:r>
      <w:bookmarkEnd w:id="724"/>
      <w:bookmarkEnd w:id="725"/>
      <w:bookmarkEnd w:id="726"/>
      <w:bookmarkEnd w:id="72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现场技术员是项目工程施工过程质量的直接责任人，其质量管理职责是：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a严格按施工图设计文件、实时性施工组织设计及专项施工方案组织施工；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b编制对施工作业班组的技术交底并组织交底，使施工操作人员正确了解施工方法和工序质量标准；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c依据技术交底文件，实时监控作业人员的工序操作质量；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d施工作业前核实所用材料、设备的质量；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e组织或参与施工现场的试验检测工作；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f监督工序、班组交接质量检验；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g组织对不合格品的返工；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h编制本专业的施工资料，保证施工资料的真实性、可追溯性，并与施工进度保持同步。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i参与项目质量事故调查。</w:t>
      </w:r>
    </w:p>
    <w:p>
      <w:pPr>
        <w:pStyle w:val="10"/>
        <w:bidi w:val="0"/>
        <w:ind w:firstLine="482" w:firstLineChars="200"/>
        <w:outlineLvl w:val="1"/>
        <w:rPr>
          <w:rFonts w:hint="eastAsia" w:asciiTheme="minorEastAsia" w:hAnsiTheme="minorEastAsia" w:eastAsiaTheme="minorEastAsia" w:cstheme="minorEastAsia"/>
          <w:b/>
          <w:bCs/>
          <w:sz w:val="24"/>
          <w:lang w:val="en-US" w:eastAsia="zh-CN"/>
        </w:rPr>
      </w:pPr>
      <w:bookmarkStart w:id="728" w:name="_Toc27726"/>
      <w:bookmarkStart w:id="729" w:name="_Toc27003"/>
      <w:bookmarkStart w:id="730" w:name="_Toc16374"/>
      <w:bookmarkStart w:id="731" w:name="_Toc32210"/>
      <w:r>
        <w:rPr>
          <w:rFonts w:hint="eastAsia" w:ascii="宋体" w:hAnsi="宋体" w:eastAsia="宋体" w:cs="宋体"/>
          <w:b/>
          <w:bCs/>
          <w:sz w:val="24"/>
          <w:lang w:val="en-US" w:eastAsia="zh-CN"/>
        </w:rPr>
        <w:fldChar w:fldCharType="begin"/>
      </w:r>
      <w:r>
        <w:rPr>
          <w:rFonts w:hint="eastAsia" w:ascii="宋体" w:hAnsi="宋体" w:eastAsia="宋体" w:cs="宋体"/>
          <w:b/>
          <w:bCs/>
          <w:sz w:val="24"/>
          <w:lang w:val="en-US" w:eastAsia="zh-CN"/>
        </w:rPr>
        <w:instrText xml:space="preserve"> HYPERLINK "4.2.1.4" </w:instrText>
      </w:r>
      <w:r>
        <w:rPr>
          <w:rFonts w:hint="eastAsia" w:ascii="宋体" w:hAnsi="宋体" w:eastAsia="宋体" w:cs="宋体"/>
          <w:b/>
          <w:bCs/>
          <w:sz w:val="24"/>
          <w:lang w:val="en-US" w:eastAsia="zh-CN"/>
        </w:rPr>
        <w:fldChar w:fldCharType="separate"/>
      </w:r>
      <w:r>
        <w:rPr>
          <w:rFonts w:hint="eastAsia" w:ascii="宋体" w:hAnsi="宋体" w:eastAsia="宋体" w:cs="宋体"/>
          <w:b/>
          <w:bCs/>
          <w:sz w:val="24"/>
          <w:lang w:val="en-US" w:eastAsia="zh-CN"/>
        </w:rPr>
        <w:t>6.2.2.4</w:t>
      </w:r>
      <w:r>
        <w:rPr>
          <w:rFonts w:hint="eastAsia" w:ascii="宋体" w:hAnsi="宋体" w:eastAsia="宋体" w:cs="宋体"/>
          <w:b/>
          <w:bCs/>
          <w:sz w:val="24"/>
          <w:lang w:val="en-US" w:eastAsia="zh-CN"/>
        </w:rPr>
        <w:fldChar w:fldCharType="end"/>
      </w:r>
      <w:r>
        <w:rPr>
          <w:rFonts w:hint="eastAsia" w:ascii="宋体" w:hAnsi="宋体" w:eastAsia="宋体" w:cs="宋体"/>
          <w:b/>
          <w:bCs/>
          <w:sz w:val="24"/>
          <w:lang w:val="en-US" w:eastAsia="zh-CN"/>
        </w:rPr>
        <w:t xml:space="preserve"> 质量保证体系框图</w:t>
      </w:r>
      <w:bookmarkEnd w:id="728"/>
      <w:bookmarkEnd w:id="729"/>
      <w:bookmarkEnd w:id="730"/>
      <w:bookmarkEnd w:id="73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质量保证体系框图见下图</w:t>
      </w:r>
      <w:r>
        <w:rPr>
          <w:rFonts w:hint="eastAsia" w:asciiTheme="minorEastAsia" w:hAnsiTheme="minorEastAsia" w:eastAsiaTheme="minorEastAsia" w:cstheme="minorEastAsia"/>
          <w:b w:val="0"/>
          <w:bCs w:val="0"/>
          <w:sz w:val="24"/>
          <w:lang w:val="en-US" w:eastAsia="zh-CN"/>
        </w:rPr>
        <w:fldChar w:fldCharType="begin"/>
      </w:r>
      <w:r>
        <w:rPr>
          <w:rFonts w:hint="eastAsia" w:asciiTheme="minorEastAsia" w:hAnsiTheme="minorEastAsia" w:eastAsiaTheme="minorEastAsia" w:cstheme="minorEastAsia"/>
          <w:b w:val="0"/>
          <w:bCs w:val="0"/>
          <w:sz w:val="24"/>
          <w:lang w:val="en-US" w:eastAsia="zh-CN"/>
        </w:rPr>
        <w:instrText xml:space="preserve"> HYPERLINK "4.2.1.4" </w:instrText>
      </w:r>
      <w:r>
        <w:rPr>
          <w:rFonts w:hint="eastAsia" w:asciiTheme="minorEastAsia" w:hAnsiTheme="minorEastAsia" w:eastAsiaTheme="minorEastAsia" w:cstheme="minorEastAsia"/>
          <w:b w:val="0"/>
          <w:bCs w:val="0"/>
          <w:sz w:val="24"/>
          <w:lang w:val="en-US" w:eastAsia="zh-CN"/>
        </w:rPr>
        <w:fldChar w:fldCharType="separate"/>
      </w:r>
      <w:r>
        <w:rPr>
          <w:rFonts w:hint="eastAsia" w:asciiTheme="minorEastAsia" w:hAnsiTheme="minorEastAsia" w:eastAsiaTheme="minorEastAsia" w:cstheme="minorEastAsia"/>
          <w:b w:val="0"/>
          <w:bCs w:val="0"/>
          <w:sz w:val="24"/>
          <w:lang w:val="en-US" w:eastAsia="zh-CN"/>
        </w:rPr>
        <w:t>4.2.1.4</w:t>
      </w:r>
      <w:r>
        <w:rPr>
          <w:rFonts w:hint="eastAsia" w:asciiTheme="minorEastAsia" w:hAnsiTheme="minorEastAsia" w:eastAsiaTheme="minorEastAsia" w:cstheme="minorEastAsia"/>
          <w:b w:val="0"/>
          <w:bCs w:val="0"/>
          <w:sz w:val="24"/>
          <w:lang w:val="en-US" w:eastAsia="zh-CN"/>
        </w:rPr>
        <w:fldChar w:fldCharType="end"/>
      </w:r>
      <w:r>
        <w:rPr>
          <w:rFonts w:hint="eastAsia" w:asciiTheme="minorEastAsia" w:hAnsiTheme="minorEastAsia" w:eastAsiaTheme="minorEastAsia" w:cstheme="minorEastAsia"/>
          <w:b w:val="0"/>
          <w:bCs w:val="0"/>
          <w:sz w:val="24"/>
          <w:lang w:val="en-US" w:eastAsia="zh-CN"/>
        </w:rPr>
        <w:t>-1。</w:t>
      </w:r>
    </w:p>
    <w:p>
      <w:pPr>
        <w:pStyle w:val="11"/>
        <w:spacing w:line="287" w:lineRule="auto"/>
      </w:pPr>
      <w:r>
        <w:rPr>
          <w:position w:val="-139"/>
        </w:rPr>
        <w:drawing>
          <wp:inline distT="0" distB="0" distL="0" distR="0">
            <wp:extent cx="5377815" cy="4425315"/>
            <wp:effectExtent l="0" t="0" r="13335" b="13335"/>
            <wp:docPr id="3" name="IM 2896"/>
            <wp:cNvGraphicFramePr/>
            <a:graphic xmlns:a="http://schemas.openxmlformats.org/drawingml/2006/main">
              <a:graphicData uri="http://schemas.openxmlformats.org/drawingml/2006/picture">
                <pic:pic xmlns:pic="http://schemas.openxmlformats.org/drawingml/2006/picture">
                  <pic:nvPicPr>
                    <pic:cNvPr id="3" name="IM 2896"/>
                    <pic:cNvPicPr/>
                  </pic:nvPicPr>
                  <pic:blipFill>
                    <a:blip r:embed="rId13"/>
                    <a:stretch>
                      <a:fillRect/>
                    </a:stretch>
                  </pic:blipFill>
                  <pic:spPr>
                    <a:xfrm>
                      <a:off x="0" y="0"/>
                      <a:ext cx="5378195" cy="4425695"/>
                    </a:xfrm>
                    <a:prstGeom prst="rect">
                      <a:avLst/>
                    </a:prstGeom>
                  </pic:spPr>
                </pic:pic>
              </a:graphicData>
            </a:graphic>
          </wp:inline>
        </w:drawing>
      </w:r>
    </w:p>
    <w:p>
      <w:pPr>
        <w:spacing w:before="91" w:line="222" w:lineRule="auto"/>
        <w:ind w:left="3378"/>
        <w:outlineLvl w:val="2"/>
        <w:rPr>
          <w:rFonts w:ascii="仿宋" w:hAnsi="仿宋" w:eastAsia="仿宋" w:cs="仿宋"/>
          <w:sz w:val="28"/>
          <w:szCs w:val="28"/>
        </w:rPr>
      </w:pPr>
      <w:bookmarkStart w:id="732" w:name="_Toc16159"/>
      <w:bookmarkStart w:id="733" w:name="_Toc29740"/>
      <w:bookmarkStart w:id="734" w:name="_Toc19978"/>
      <w:bookmarkStart w:id="735" w:name="_Toc27795"/>
      <w:r>
        <w:rPr>
          <w:rFonts w:ascii="仿宋" w:hAnsi="仿宋" w:eastAsia="仿宋" w:cs="仿宋"/>
          <w:spacing w:val="-8"/>
          <w:sz w:val="24"/>
          <w:szCs w:val="24"/>
        </w:rPr>
        <w:t>质量保证体系框图</w:t>
      </w:r>
      <w:bookmarkEnd w:id="732"/>
      <w:bookmarkEnd w:id="733"/>
      <w:bookmarkEnd w:id="734"/>
      <w:bookmarkEnd w:id="735"/>
    </w:p>
    <w:p>
      <w:pPr>
        <w:pStyle w:val="10"/>
        <w:bidi w:val="0"/>
        <w:ind w:firstLine="482" w:firstLineChars="200"/>
        <w:outlineLvl w:val="1"/>
      </w:pPr>
      <w:bookmarkStart w:id="736" w:name="_Toc2354"/>
      <w:bookmarkStart w:id="737" w:name="_Toc8101"/>
      <w:bookmarkStart w:id="738" w:name="_Toc20990"/>
      <w:bookmarkStart w:id="739" w:name="_Toc27344"/>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"4.2.1.5"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6.2.2.5</w:t>
      </w:r>
      <w:r>
        <w:rPr>
          <w:rFonts w:hint="eastAsia" w:ascii="宋体" w:hAnsi="宋体" w:eastAsia="宋体" w:cs="宋体"/>
          <w:lang w:val="en-US" w:eastAsia="zh-CN"/>
        </w:rPr>
        <w:fldChar w:fldCharType="end"/>
      </w:r>
      <w:r>
        <w:rPr>
          <w:rFonts w:hint="eastAsia" w:ascii="宋体" w:hAnsi="宋体" w:eastAsia="宋体" w:cs="宋体"/>
          <w:lang w:val="en-US" w:eastAsia="zh-CN"/>
        </w:rPr>
        <w:t>质量管理制度</w:t>
      </w:r>
      <w:bookmarkEnd w:id="736"/>
      <w:bookmarkEnd w:id="737"/>
      <w:bookmarkEnd w:id="738"/>
      <w:bookmarkEnd w:id="73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740" w:name="_Toc22913"/>
      <w:bookmarkStart w:id="741" w:name="_Toc9613"/>
      <w:bookmarkStart w:id="742" w:name="_Toc25546"/>
      <w:bookmarkStart w:id="743" w:name="_Toc20698"/>
      <w:r>
        <w:rPr>
          <w:rFonts w:hint="eastAsia" w:asciiTheme="minorEastAsia" w:hAnsiTheme="minorEastAsia" w:eastAsiaTheme="minorEastAsia" w:cstheme="minorEastAsia"/>
          <w:b w:val="0"/>
          <w:bCs w:val="0"/>
          <w:sz w:val="24"/>
          <w:lang w:val="en-US" w:eastAsia="zh-CN"/>
        </w:rPr>
        <w:t>1、工程质量终身责任制度</w:t>
      </w:r>
      <w:bookmarkEnd w:id="740"/>
      <w:bookmarkEnd w:id="741"/>
      <w:bookmarkEnd w:id="742"/>
      <w:bookmarkEnd w:id="74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施工单位的项目负责人，应当按照国家和省市法律法规和有关规定，对建设工程质量终身责任作出书面承诺，并签署《建设工程质量终身责任承诺书》，对该建设工程在设计使用年限内的工程质量承担相应终身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（2）根据本工程的总体质量目标进行量化分解，落实到每个分部分项工程、每一个施工环节和施工工序等，并逐级落实到相关部室、施工队、作业人员，一级保一级，逐级签订包保责任状。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744" w:name="_Toc4794"/>
      <w:bookmarkStart w:id="745" w:name="_Toc32205"/>
      <w:bookmarkStart w:id="746" w:name="_Toc3445"/>
      <w:bookmarkStart w:id="747" w:name="_Toc17583"/>
      <w:r>
        <w:rPr>
          <w:rFonts w:hint="eastAsia" w:asciiTheme="minorEastAsia" w:hAnsiTheme="minorEastAsia" w:eastAsiaTheme="minorEastAsia" w:cstheme="minorEastAsia"/>
          <w:b w:val="0"/>
          <w:bCs w:val="0"/>
          <w:sz w:val="24"/>
          <w:lang w:val="en-US" w:eastAsia="zh-CN"/>
        </w:rPr>
        <w:t>2、图纸管理和图纸会审制度</w:t>
      </w:r>
      <w:bookmarkEnd w:id="744"/>
      <w:bookmarkEnd w:id="745"/>
      <w:bookmarkEnd w:id="746"/>
      <w:bookmarkEnd w:id="74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（1）施工图是工程实施的基本依据，应加强对施工图交付及交付后的管理工作。设专门人员管理施工图，做 好保管、收发登记、保密工作。作废图纸及时加盖作废章, 不得继续使用。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（2）施工图必须经过审批，加盖施工图审批专用章后作为工程实施、竣工验收和计价的依据。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（3）施工图审核由施工单位总工程师组织，相关部门参加。了解设计意图、明确技术途径，确定工程项目适 用规范、工法、操作规程和作业指导书，并用作施工过程 指导性文件，对设计文件有疑问或认为设计文件存在问题以书面形式上报监理、项目公司、设计单位。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（4）施工图纸会审应填写设计文件会审记录、工程数量复核记录，并建立设计文件审核台账。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748" w:name="_Toc17508"/>
      <w:bookmarkStart w:id="749" w:name="_Toc24265"/>
      <w:bookmarkStart w:id="750" w:name="_Toc18996"/>
      <w:bookmarkStart w:id="751" w:name="_Toc3581"/>
      <w:r>
        <w:rPr>
          <w:rFonts w:hint="eastAsia" w:asciiTheme="minorEastAsia" w:hAnsiTheme="minorEastAsia" w:eastAsiaTheme="minorEastAsia" w:cstheme="minorEastAsia"/>
          <w:b w:val="0"/>
          <w:bCs w:val="0"/>
          <w:sz w:val="24"/>
          <w:lang w:val="en-US" w:eastAsia="zh-CN"/>
        </w:rPr>
        <w:t>3、施工图现场核对制度</w:t>
      </w:r>
      <w:bookmarkEnd w:id="748"/>
      <w:bookmarkEnd w:id="749"/>
      <w:bookmarkEnd w:id="750"/>
      <w:bookmarkEnd w:id="75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各专业技术人员在领到施工图后先必须认真地全面了解图纸，搞清设计意图、规范及技术标准规定要求，熟悉工艺流程和结构特点等重要环节，之后应去现场，根据 设计提供的资料，进行详细的水文、地质核对，结构物设计是否合理等。必要时可请勘察设计人员一道参加以确保设计与实际相符。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752" w:name="_Toc23287"/>
      <w:bookmarkStart w:id="753" w:name="_Toc19423"/>
      <w:bookmarkStart w:id="754" w:name="_Toc8933"/>
      <w:bookmarkStart w:id="755" w:name="_Toc7545"/>
      <w:r>
        <w:rPr>
          <w:rFonts w:hint="eastAsia" w:asciiTheme="minorEastAsia" w:hAnsiTheme="minorEastAsia" w:eastAsiaTheme="minorEastAsia" w:cstheme="minorEastAsia"/>
          <w:b w:val="0"/>
          <w:bCs w:val="0"/>
          <w:sz w:val="24"/>
          <w:lang w:val="en-US" w:eastAsia="zh-CN"/>
        </w:rPr>
        <w:t>4、施工技术培训交底制度</w:t>
      </w:r>
      <w:bookmarkEnd w:id="752"/>
      <w:bookmarkEnd w:id="753"/>
      <w:bookmarkEnd w:id="754"/>
      <w:bookmarkEnd w:id="75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工程开工前，施工图设计单位向施工单位、监理单位进行设计文件交底，施工单位项目总工在施工各阶段对管 理层和操作层进行施工技术交底，将施工内容与施工组织 、施工工艺和主要施工参数、工程质量要求和验收标准、 容易出现的质量通病的预防、安全技术要求等详细地给施工人员交底。未经施工技术交底，相应的工程施工不得实施。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756" w:name="_Toc9865"/>
      <w:bookmarkStart w:id="757" w:name="_Toc19046"/>
      <w:bookmarkStart w:id="758" w:name="_Toc24275"/>
      <w:bookmarkStart w:id="759" w:name="_Toc15840"/>
      <w:r>
        <w:rPr>
          <w:rFonts w:hint="eastAsia" w:asciiTheme="minorEastAsia" w:hAnsiTheme="minorEastAsia" w:eastAsiaTheme="minorEastAsia" w:cstheme="minorEastAsia"/>
          <w:b w:val="0"/>
          <w:bCs w:val="0"/>
          <w:sz w:val="24"/>
          <w:lang w:val="en-US" w:eastAsia="zh-CN"/>
        </w:rPr>
        <w:t>5、内业资料管理制度</w:t>
      </w:r>
      <w:bookmarkEnd w:id="756"/>
      <w:bookmarkEnd w:id="757"/>
      <w:bookmarkEnd w:id="758"/>
      <w:bookmarkEnd w:id="75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（1）施工过程质保资料管理由标段项目经理负总责，总工程师分管和指导，工程部具体实施。各级技术质量 管理人员要注意有关工程质量管理工作各项原始记录的收集、汇总、整理、分类、存档工作。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（2）原始记录包括复测和定位测量资料，开（复）工报告，施工调查资料，施工图设计文件、设计文件审查 记录，变更设计的有关记录，施工组织设计、专项施工方案，工程施工质量验收记录，试验报告单，地基基础及结构检测记录，材料、成品（半成品）和安装设备检验合格 证，施工记录、工程日志，工程事故分析处理记录，工程竣工验交过程中形成的协议、纪要等。</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（3）项目部应建立专门的资料室，配置专职资料员，收集、保存各类技术、质量资料。各级技术、质量管理 人员负责各类技术、质量管理资料的收集、整理、填写和签字盖章，各类资料必须与施工进度同步，手续完善，明确责任。资料形成后及时交资料员归档保存。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760" w:name="_Toc14786"/>
      <w:bookmarkStart w:id="761" w:name="_Toc31626"/>
      <w:bookmarkStart w:id="762" w:name="_Toc8181"/>
      <w:bookmarkStart w:id="763" w:name="_Toc25604"/>
      <w:r>
        <w:rPr>
          <w:rFonts w:hint="eastAsia" w:asciiTheme="minorEastAsia" w:hAnsiTheme="minorEastAsia" w:eastAsiaTheme="minorEastAsia" w:cstheme="minorEastAsia"/>
          <w:b w:val="0"/>
          <w:bCs w:val="0"/>
          <w:sz w:val="24"/>
          <w:lang w:val="en-US" w:eastAsia="zh-CN"/>
        </w:rPr>
        <w:t>6、首件验收、样板引路制度</w:t>
      </w:r>
      <w:bookmarkEnd w:id="760"/>
      <w:bookmarkEnd w:id="761"/>
      <w:bookmarkEnd w:id="762"/>
      <w:bookmarkEnd w:id="76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首件验收制度是对工程质量管理程序的进一步完善和加强，旨在以首件样本的标准在分项工程每一个检验批 的施工过程中得以推广，认真落实质量控制程序，实现工序检查和中间验收标准化，统一操作规范和工作原则，从而带动工程整体质量水平的提高。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764" w:name="_Toc24120"/>
      <w:bookmarkStart w:id="765" w:name="_Toc5980"/>
      <w:bookmarkStart w:id="766" w:name="_Toc12932"/>
      <w:bookmarkStart w:id="767" w:name="_Toc6964"/>
      <w:r>
        <w:rPr>
          <w:rFonts w:hint="eastAsia" w:asciiTheme="minorEastAsia" w:hAnsiTheme="minorEastAsia" w:eastAsiaTheme="minorEastAsia" w:cstheme="minorEastAsia"/>
          <w:b w:val="0"/>
          <w:bCs w:val="0"/>
          <w:sz w:val="24"/>
          <w:lang w:val="en-US" w:eastAsia="zh-CN"/>
        </w:rPr>
        <w:t>（1）项目结构分解</w:t>
      </w:r>
      <w:bookmarkEnd w:id="764"/>
      <w:bookmarkEnd w:id="765"/>
      <w:bookmarkEnd w:id="766"/>
      <w:bookmarkEnd w:id="76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在获得施工图设计文件后，由项目部工程部以检验批为最小单位进行项目结构分解，明确各分项工程的事前、事中、事后质量控制要点及需要收集完善的施工记录、现场检查、试验项目、质量验收等质量文件目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768" w:name="_Toc3130"/>
      <w:bookmarkStart w:id="769" w:name="_Toc6116"/>
      <w:bookmarkStart w:id="770" w:name="_Toc29255"/>
      <w:bookmarkStart w:id="771" w:name="_Toc9994"/>
      <w:r>
        <w:rPr>
          <w:rFonts w:hint="eastAsia" w:asciiTheme="minorEastAsia" w:hAnsiTheme="minorEastAsia" w:eastAsiaTheme="minorEastAsia" w:cstheme="minorEastAsia"/>
          <w:b w:val="0"/>
          <w:bCs w:val="0"/>
          <w:sz w:val="24"/>
          <w:lang w:val="en-US" w:eastAsia="zh-CN"/>
        </w:rPr>
        <w:t>（2）首件验收项目</w:t>
      </w:r>
      <w:bookmarkEnd w:id="768"/>
      <w:bookmarkEnd w:id="769"/>
      <w:bookmarkEnd w:id="770"/>
      <w:bookmarkEnd w:id="77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对于涉及结构安全及使用功能的必须严格执行首件制度。对于本工程，将每一分部工程涉及的所有分项工程的第一个检验批为首件验收的对象。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772" w:name="_Toc31128"/>
      <w:bookmarkStart w:id="773" w:name="_Toc19801"/>
      <w:bookmarkStart w:id="774" w:name="_Toc29641"/>
      <w:bookmarkStart w:id="775" w:name="_Toc30772"/>
      <w:r>
        <w:rPr>
          <w:rFonts w:hint="eastAsia" w:asciiTheme="minorEastAsia" w:hAnsiTheme="minorEastAsia" w:eastAsiaTheme="minorEastAsia" w:cstheme="minorEastAsia"/>
          <w:b w:val="0"/>
          <w:bCs w:val="0"/>
          <w:sz w:val="24"/>
          <w:lang w:val="en-US" w:eastAsia="zh-CN"/>
        </w:rPr>
        <w:t>（3）首件验收程序</w:t>
      </w:r>
      <w:bookmarkEnd w:id="772"/>
      <w:bookmarkEnd w:id="773"/>
      <w:bookmarkEnd w:id="774"/>
      <w:bookmarkEnd w:id="77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每个分项工程正式施工前，首先由技术部对现场施工作业人员进行针对性的技术交底工作。各分项工程首件开始施工后，质量部全程参与施工过程，加强过程控制，保证首件产品能达到验收合格标准。当每分项工程首件产品施工完毕后，由施工作业队质检人员进行自检，合格后上报项目部质检部门组织准备首件验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验收参与的项目公司、设计单位、监理单位及施工单位各方，在验收之前召开验收准备会议，内容包括准备检验资料、确定流程、人员分工、验收方法、部位及数量等; 现场验收后作会议总结，总结验收情况、验收各方提出存在问题及整改意见等，在会议讨论并通过整改意见后由 施工单位进行下一步的整改；对于一次性通过验收的首件产品或分项工程进行四方会签，并对同一分项其他部位或 下一道工序提出施工和指导意见，确保样板引路。整个验收过程分内业和外业组，分别验收首件产品或分项工程的 内业资料、现场结构尺寸、强度、平面位置、外观及探测 等。在整个验收过程中，须留有文字及影相资料。只有经 四方对首件产品或分项工程验收确认合格后方可进行大面积或批量生产、进行下道工序。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776" w:name="_Toc24826"/>
      <w:bookmarkStart w:id="777" w:name="_Toc7815"/>
      <w:bookmarkStart w:id="778" w:name="_Toc31544"/>
      <w:bookmarkStart w:id="779" w:name="_Toc1435"/>
      <w:r>
        <w:rPr>
          <w:rFonts w:hint="eastAsia" w:asciiTheme="minorEastAsia" w:hAnsiTheme="minorEastAsia" w:eastAsiaTheme="minorEastAsia" w:cstheme="minorEastAsia"/>
          <w:b w:val="0"/>
          <w:bCs w:val="0"/>
          <w:sz w:val="24"/>
          <w:lang w:val="en-US" w:eastAsia="zh-CN"/>
        </w:rPr>
        <w:t>（4）首件验收评审和总结</w:t>
      </w:r>
      <w:bookmarkEnd w:id="776"/>
      <w:bookmarkEnd w:id="777"/>
      <w:bookmarkEnd w:id="778"/>
      <w:bookmarkEnd w:id="77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对验收指标不达标的分项首件必须返工，并按各方提出的问题逐一进行整改，并对问题产生的原因进行分析，对相应的作业人员进行培训教育，提高其业务水平及质量 意识，整改完成后再次组织验各方验收，提高产品首件验 收合格率，形成奖罚机制。经评审达标的分项首件工程，对各方在验收时提出的意见和建议要引起重视，对产品的 工程质量要精益求精，做好样板引路工作，形成流水作业 , 保证工程质量。通过首件验收的分项工程，要严格要求管理人员、施工班组按照确定的施工工艺、施工参数、操作规程组织规模施工，推动施工过程中切实落实全面质量 管理措施、层层分解落实质量目标、细化施工程序，实施工程质量精细化管理，以分项工程优质保证工程整体质量的优质。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780" w:name="_Toc358"/>
      <w:bookmarkStart w:id="781" w:name="_Toc18442"/>
      <w:bookmarkStart w:id="782" w:name="_Toc5635"/>
      <w:bookmarkStart w:id="783" w:name="_Toc7429"/>
      <w:r>
        <w:rPr>
          <w:rFonts w:hint="eastAsia" w:asciiTheme="minorEastAsia" w:hAnsiTheme="minorEastAsia" w:eastAsiaTheme="minorEastAsia" w:cstheme="minorEastAsia"/>
          <w:b w:val="0"/>
          <w:bCs w:val="0"/>
          <w:sz w:val="24"/>
          <w:lang w:val="en-US" w:eastAsia="zh-CN"/>
        </w:rPr>
        <w:t>（5）首件验收形成的资料</w:t>
      </w:r>
      <w:bookmarkEnd w:id="780"/>
      <w:bookmarkEnd w:id="781"/>
      <w:bookmarkEnd w:id="782"/>
      <w:bookmarkEnd w:id="78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每一个分项工程完成首件验收后需要形成相应的资料，为分项工程的后续施工做好样板引路工作。首件验收 完成后形成的资料主要有：会议纪要、首件验收记录表、检验批质量验收记录以及影像资料等。</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784" w:name="_Toc6655"/>
      <w:bookmarkStart w:id="785" w:name="_Toc5056"/>
      <w:bookmarkStart w:id="786" w:name="_Toc30783"/>
      <w:bookmarkStart w:id="787" w:name="_Toc27408"/>
      <w:r>
        <w:rPr>
          <w:rFonts w:hint="eastAsia" w:asciiTheme="minorEastAsia" w:hAnsiTheme="minorEastAsia" w:eastAsiaTheme="minorEastAsia" w:cstheme="minorEastAsia"/>
          <w:b w:val="0"/>
          <w:bCs w:val="0"/>
          <w:sz w:val="24"/>
          <w:lang w:val="en-US" w:eastAsia="zh-CN"/>
        </w:rPr>
        <w:t>7、工程质量旁站监督制度</w:t>
      </w:r>
      <w:bookmarkEnd w:id="784"/>
      <w:bookmarkEnd w:id="785"/>
      <w:bookmarkEnd w:id="786"/>
      <w:bookmarkEnd w:id="78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施工单位项目部配备专职质量管理人员，对工程的特殊过程、关键工序和关键部位的全过程，实行旁站监督，确保工程质量始终处于受控状态。旁站监督做到严格执法, 并做好监督记录，对所监督的施工质量负责。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788" w:name="_Toc6866"/>
      <w:bookmarkStart w:id="789" w:name="_Toc27310"/>
      <w:bookmarkStart w:id="790" w:name="_Toc32571"/>
      <w:bookmarkStart w:id="791" w:name="_Toc4499"/>
      <w:r>
        <w:rPr>
          <w:rFonts w:hint="eastAsia" w:asciiTheme="minorEastAsia" w:hAnsiTheme="minorEastAsia" w:eastAsiaTheme="minorEastAsia" w:cstheme="minorEastAsia"/>
          <w:b w:val="0"/>
          <w:bCs w:val="0"/>
          <w:sz w:val="24"/>
          <w:lang w:val="en-US" w:eastAsia="zh-CN"/>
        </w:rPr>
        <w:t>8机械设备管理及养护制度</w:t>
      </w:r>
      <w:bookmarkEnd w:id="788"/>
      <w:bookmarkEnd w:id="789"/>
      <w:bookmarkEnd w:id="790"/>
      <w:bookmarkEnd w:id="79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792" w:name="_Toc2462"/>
      <w:bookmarkStart w:id="793" w:name="_Toc16760"/>
      <w:bookmarkStart w:id="794" w:name="_Toc11574"/>
      <w:bookmarkStart w:id="795" w:name="_Toc11068"/>
      <w:r>
        <w:rPr>
          <w:rFonts w:hint="eastAsia" w:asciiTheme="minorEastAsia" w:hAnsiTheme="minorEastAsia" w:eastAsiaTheme="minorEastAsia" w:cstheme="minorEastAsia"/>
          <w:b w:val="0"/>
          <w:bCs w:val="0"/>
          <w:sz w:val="24"/>
          <w:lang w:val="en-US" w:eastAsia="zh-CN"/>
        </w:rPr>
        <w:t>（1）机械设备购置管理</w:t>
      </w:r>
      <w:bookmarkEnd w:id="792"/>
      <w:bookmarkEnd w:id="793"/>
      <w:bookmarkEnd w:id="794"/>
      <w:bookmarkEnd w:id="7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①机械设备购置实行严格的投资计划上报审批制度，具体审批权限及审批流程执行公司制度。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②新购置的机械设备，及时办理固定资产入帐手续，遇有设备调拨、报废和处置行为发生时严格按管理流程要求进行申报和办理。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③项目部按规定对进场的机械设备进行验收，并保存验收记录。保证所购机械设备符合职业健康、安全、节能与环保的要求。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796" w:name="_Toc31768"/>
      <w:bookmarkStart w:id="797" w:name="_Toc17290"/>
      <w:bookmarkStart w:id="798" w:name="_Toc9887"/>
      <w:bookmarkStart w:id="799" w:name="_Toc3234"/>
      <w:r>
        <w:rPr>
          <w:rFonts w:hint="eastAsia" w:asciiTheme="minorEastAsia" w:hAnsiTheme="minorEastAsia" w:eastAsiaTheme="minorEastAsia" w:cstheme="minorEastAsia"/>
          <w:b w:val="0"/>
          <w:bCs w:val="0"/>
          <w:sz w:val="24"/>
          <w:lang w:val="en-US" w:eastAsia="zh-CN"/>
        </w:rPr>
        <w:t>（2）机械设备使用管理</w:t>
      </w:r>
      <w:bookmarkEnd w:id="796"/>
      <w:bookmarkEnd w:id="797"/>
      <w:bookmarkEnd w:id="798"/>
      <w:bookmarkEnd w:id="79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①外部设备租赁实行供方准入制，其设备出租方必须在公司《（机械类）合格供方名册》的范围内选择。</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②进场使用的机械设备需及时进行报验并按其技术性能的要求和操作规程正确操作、使用，不得违规、违章、超负荷及带病作业。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③机械设备必须按时进行各级保养维护。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④采用多人、多班作业的机械设备必须执行交接班制度。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⑤现场暂时不使用的施工机具，要及时断电、封存及作好标识。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⑥项目部设备管理人员每周必须对正在使用的施工机具进行一次以上的综合检查并填写检查记录。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00" w:name="_Toc7790"/>
      <w:bookmarkStart w:id="801" w:name="_Toc7121"/>
      <w:bookmarkStart w:id="802" w:name="_Toc31216"/>
      <w:bookmarkStart w:id="803" w:name="_Toc31635"/>
      <w:r>
        <w:rPr>
          <w:rFonts w:hint="eastAsia" w:asciiTheme="minorEastAsia" w:hAnsiTheme="minorEastAsia" w:eastAsiaTheme="minorEastAsia" w:cstheme="minorEastAsia"/>
          <w:b w:val="0"/>
          <w:bCs w:val="0"/>
          <w:sz w:val="24"/>
          <w:lang w:val="en-US" w:eastAsia="zh-CN"/>
        </w:rPr>
        <w:t>（3）机械设备保养和修理</w:t>
      </w:r>
      <w:bookmarkEnd w:id="800"/>
      <w:bookmarkEnd w:id="801"/>
      <w:bookmarkEnd w:id="802"/>
      <w:bookmarkEnd w:id="80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①设备使用单位根据施工任务、设备运转时间及技术状况编制《设备维修、保养计划》，报设备主管部门备案。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②按计划对设备实施维修、保养，对维修过程、维修 项目、配件/总成件的更换等内容及时填入《设备维修保养记录》。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③配件领用必须填写相关单据，对于可利用的旧配件, 要积极开展修复工作。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04" w:name="_Toc2439"/>
      <w:bookmarkStart w:id="805" w:name="_Toc5512"/>
      <w:bookmarkStart w:id="806" w:name="_Toc26533"/>
      <w:bookmarkStart w:id="807" w:name="_Toc19752"/>
      <w:r>
        <w:rPr>
          <w:rFonts w:hint="eastAsia" w:asciiTheme="minorEastAsia" w:hAnsiTheme="minorEastAsia" w:eastAsiaTheme="minorEastAsia" w:cstheme="minorEastAsia"/>
          <w:b w:val="0"/>
          <w:bCs w:val="0"/>
          <w:sz w:val="24"/>
          <w:lang w:val="en-US" w:eastAsia="zh-CN"/>
        </w:rPr>
        <w:t>9、工程测量制度</w:t>
      </w:r>
      <w:bookmarkEnd w:id="804"/>
      <w:bookmarkEnd w:id="805"/>
      <w:bookmarkEnd w:id="806"/>
      <w:bookmarkEnd w:id="80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（1）施工测量是工程质量的基础和保证，测量工作要认真执行国家的法律、法规、行业标准、规范及有关设 计方案，保证测量工作满足施工要求，测量数据准确、可靠，确保构筑物位置和几何尺寸无误。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08" w:name="_Toc32684"/>
      <w:bookmarkStart w:id="809" w:name="_Toc14335"/>
      <w:bookmarkStart w:id="810" w:name="_Toc7410"/>
      <w:bookmarkStart w:id="811" w:name="_Toc8878"/>
      <w:r>
        <w:rPr>
          <w:rFonts w:hint="eastAsia" w:asciiTheme="minorEastAsia" w:hAnsiTheme="minorEastAsia" w:eastAsiaTheme="minorEastAsia" w:cstheme="minorEastAsia"/>
          <w:b w:val="0"/>
          <w:bCs w:val="0"/>
          <w:sz w:val="24"/>
          <w:lang w:val="en-US" w:eastAsia="zh-CN"/>
        </w:rPr>
        <w:t>（2）测量组负责工程项目的控制测量布网与施工阶段测量工作。</w:t>
      </w:r>
      <w:bookmarkEnd w:id="808"/>
      <w:bookmarkEnd w:id="809"/>
      <w:bookmarkEnd w:id="810"/>
      <w:bookmarkEnd w:id="81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12" w:name="_Toc12882"/>
      <w:bookmarkStart w:id="813" w:name="_Toc11501"/>
      <w:bookmarkStart w:id="814" w:name="_Toc20684"/>
      <w:bookmarkStart w:id="815" w:name="_Toc14791"/>
      <w:r>
        <w:rPr>
          <w:rFonts w:hint="eastAsia" w:asciiTheme="minorEastAsia" w:hAnsiTheme="minorEastAsia" w:eastAsiaTheme="minorEastAsia" w:cstheme="minorEastAsia"/>
          <w:b w:val="0"/>
          <w:bCs w:val="0"/>
          <w:sz w:val="24"/>
          <w:lang w:val="en-US" w:eastAsia="zh-CN"/>
        </w:rPr>
        <w:t>10、隐蔽工程检查和签证制度</w:t>
      </w:r>
      <w:bookmarkEnd w:id="812"/>
      <w:bookmarkEnd w:id="813"/>
      <w:bookmarkEnd w:id="814"/>
      <w:bookmarkEnd w:id="81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工程隐蔽部位在隐蔽前进行质量检查，经质检员自检 、质检工程师复检合格后，备齐相关报验资料及时报监理 验收，经监理验收合格，给予签证认可后方可进入下道工序。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16" w:name="_Toc15333"/>
      <w:bookmarkStart w:id="817" w:name="_Toc9717"/>
      <w:bookmarkStart w:id="818" w:name="_Toc28815"/>
      <w:bookmarkStart w:id="819" w:name="_Toc29381"/>
      <w:r>
        <w:rPr>
          <w:rFonts w:hint="eastAsia" w:asciiTheme="minorEastAsia" w:hAnsiTheme="minorEastAsia" w:eastAsiaTheme="minorEastAsia" w:cstheme="minorEastAsia"/>
          <w:b w:val="0"/>
          <w:bCs w:val="0"/>
          <w:sz w:val="24"/>
          <w:lang w:val="en-US" w:eastAsia="zh-CN"/>
        </w:rPr>
        <w:t>11、成品保护及不合格品管控制度</w:t>
      </w:r>
      <w:bookmarkEnd w:id="816"/>
      <w:bookmarkEnd w:id="817"/>
      <w:bookmarkEnd w:id="818"/>
      <w:bookmarkEnd w:id="81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（1）在施工过程中，根据保护产品的特点，分别采 取“ 防护 ”、“包裹 ”、“覆盖 ”、“封闭 ”等保护措施 , 以及合理安排施工顺序等来达到保护成品的目的。严格 控制施工操作过程中的不当和失误，一旦出现不合格品，根据监理指令，采取措施进行整改或返工处理，确保产品达到合同要求的质量标准。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（2）施工总承包部监督各标段项目部将成品保护责任划分，并落实到岗，落实到人，列入对各作业班组的考核项目。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20" w:name="_Toc25402"/>
      <w:bookmarkStart w:id="821" w:name="_Toc28914"/>
      <w:bookmarkStart w:id="822" w:name="_Toc21204"/>
      <w:bookmarkStart w:id="823" w:name="_Toc17802"/>
      <w:r>
        <w:rPr>
          <w:rFonts w:hint="eastAsia" w:asciiTheme="minorEastAsia" w:hAnsiTheme="minorEastAsia" w:eastAsiaTheme="minorEastAsia" w:cstheme="minorEastAsia"/>
          <w:b w:val="0"/>
          <w:bCs w:val="0"/>
          <w:sz w:val="24"/>
          <w:lang w:val="en-US" w:eastAsia="zh-CN"/>
        </w:rPr>
        <w:t>12、持证上岗制度</w:t>
      </w:r>
      <w:bookmarkEnd w:id="820"/>
      <w:bookmarkEnd w:id="821"/>
      <w:bookmarkEnd w:id="822"/>
      <w:bookmarkEnd w:id="8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（1）为了统一和规范劳务用工管理工作，规范管理行为，需对项目管理人员、技术人员、特殊工种人员和作业人员等进行岗前培训、持证上岗。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（2）人员培训应根据现场需要制定各类培训计划，主要培训内容包括：质量知识培训、安全知识培训、基础业务知识培训、岗前培训等，培训完毕进行考核。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（3）岗前培训应根据工种开展各种应急性、针对性 培训，对新进场、变换工作岗位、工序转换的所有人员需重新培训考核。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24" w:name="_Toc30405"/>
      <w:bookmarkStart w:id="825" w:name="_Toc9488"/>
      <w:bookmarkStart w:id="826" w:name="_Toc21681"/>
      <w:bookmarkStart w:id="827" w:name="_Toc25309"/>
      <w:r>
        <w:rPr>
          <w:rFonts w:hint="eastAsia" w:asciiTheme="minorEastAsia" w:hAnsiTheme="minorEastAsia" w:eastAsiaTheme="minorEastAsia" w:cstheme="minorEastAsia"/>
          <w:b w:val="0"/>
          <w:bCs w:val="0"/>
          <w:sz w:val="24"/>
          <w:lang w:val="en-US" w:eastAsia="zh-CN"/>
        </w:rPr>
        <w:t>13、质量例会和事故申报制度</w:t>
      </w:r>
      <w:bookmarkEnd w:id="824"/>
      <w:bookmarkEnd w:id="825"/>
      <w:bookmarkEnd w:id="826"/>
      <w:bookmarkEnd w:id="82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为了有效推进施工质量问题的消除和质量的提高，召开定期、不定期的质量专题会，分析施工中出现的质量问 题以及产生的原因，并制定出相应的预防、纠正措施，杜 绝质量问题重复出现。建立质量事故申报制度，确保事故 能够得到及时处理。施工过程中发现质量问题，及时上报监理单位，必要时上报发包人，同时组织有关人员分析原因、研究整改方案，在监理的监督下进行整改方案的落实。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28" w:name="_Toc13458"/>
      <w:bookmarkStart w:id="829" w:name="_Toc1386"/>
      <w:bookmarkStart w:id="830" w:name="_Toc403"/>
      <w:bookmarkStart w:id="831" w:name="_Toc12485"/>
      <w:r>
        <w:rPr>
          <w:rFonts w:hint="eastAsia" w:asciiTheme="minorEastAsia" w:hAnsiTheme="minorEastAsia" w:eastAsiaTheme="minorEastAsia" w:cstheme="minorEastAsia"/>
          <w:b w:val="0"/>
          <w:bCs w:val="0"/>
          <w:i w:val="0"/>
          <w:iCs w:val="0"/>
          <w:sz w:val="24"/>
          <w:lang w:val="en-US" w:eastAsia="zh-CN"/>
        </w:rPr>
        <w:t>14、</w:t>
      </w:r>
      <w:r>
        <w:rPr>
          <w:rFonts w:hint="eastAsia" w:asciiTheme="minorEastAsia" w:hAnsiTheme="minorEastAsia" w:eastAsiaTheme="minorEastAsia" w:cstheme="minorEastAsia"/>
          <w:b w:val="0"/>
          <w:bCs w:val="0"/>
          <w:sz w:val="24"/>
          <w:lang w:val="en-US" w:eastAsia="zh-CN"/>
        </w:rPr>
        <w:t>工程质量奖罚制度</w:t>
      </w:r>
      <w:bookmarkEnd w:id="828"/>
      <w:bookmarkEnd w:id="829"/>
      <w:bookmarkEnd w:id="830"/>
      <w:bookmarkEnd w:id="83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项目部部制定有效的质量管理考核制度，奖优罚劣，对质量监控过程中有损工程质量的问题及时督促整改（或返工），视情节严重予以通报批评或经济处罚；对工程质量控制过程中取得优良的业绩者进行奖励。</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32" w:name="_Toc10443"/>
      <w:bookmarkStart w:id="833" w:name="_Toc13075"/>
      <w:bookmarkStart w:id="834" w:name="_Toc16142"/>
      <w:bookmarkStart w:id="835" w:name="_Toc29027"/>
      <w:r>
        <w:rPr>
          <w:rFonts w:hint="eastAsia" w:asciiTheme="minorEastAsia" w:hAnsiTheme="minorEastAsia" w:eastAsiaTheme="minorEastAsia" w:cstheme="minorEastAsia"/>
          <w:b w:val="0"/>
          <w:bCs w:val="0"/>
          <w:sz w:val="24"/>
          <w:lang w:val="en-US" w:eastAsia="zh-CN"/>
        </w:rPr>
        <w:t>15、质量教育培训及考核制度</w:t>
      </w:r>
      <w:bookmarkEnd w:id="832"/>
      <w:bookmarkEnd w:id="833"/>
      <w:bookmarkEnd w:id="834"/>
      <w:bookmarkEnd w:id="83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（1）项目部应根据年度施工生产计划制订年度教育培训计划，每半年至少组织一次质量教育和培训活动，沟通质量信息，增强质量意识，规范质量行为，提高操作技能。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（2）项目经理是质量教育培训第一责任人，总工程师负责业务指导和组织，质量意识教育和质量验收培训由标段安全质量管理部负责具体实施，技术培训由工程技术部负责具体实施。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（3）培训资料应当归档保存至工程竣工交验。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（4）建立培训记录和考核机制，考核合格后方可上岗。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36" w:name="_Toc16006"/>
      <w:bookmarkStart w:id="837" w:name="_Toc18286"/>
      <w:bookmarkStart w:id="838" w:name="_Toc17225"/>
      <w:bookmarkStart w:id="839" w:name="_Toc10491"/>
      <w:r>
        <w:rPr>
          <w:rFonts w:hint="eastAsia" w:asciiTheme="minorEastAsia" w:hAnsiTheme="minorEastAsia" w:eastAsiaTheme="minorEastAsia" w:cstheme="minorEastAsia"/>
          <w:b w:val="0"/>
          <w:bCs w:val="0"/>
          <w:sz w:val="24"/>
          <w:lang w:val="en-US" w:eastAsia="zh-CN"/>
        </w:rPr>
        <w:t>16、工程材料、构配件进场检验制度</w:t>
      </w:r>
      <w:bookmarkEnd w:id="836"/>
      <w:bookmarkEnd w:id="837"/>
      <w:bookmarkEnd w:id="838"/>
      <w:bookmarkEnd w:id="83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40" w:name="_Toc28125"/>
      <w:bookmarkStart w:id="841" w:name="_Toc15746"/>
      <w:bookmarkStart w:id="842" w:name="_Toc22008"/>
      <w:bookmarkStart w:id="843" w:name="_Toc23251"/>
      <w:r>
        <w:rPr>
          <w:rFonts w:hint="eastAsia" w:asciiTheme="minorEastAsia" w:hAnsiTheme="minorEastAsia" w:eastAsiaTheme="minorEastAsia" w:cstheme="minorEastAsia"/>
          <w:b w:val="0"/>
          <w:bCs w:val="0"/>
          <w:sz w:val="24"/>
          <w:lang w:val="en-US" w:eastAsia="zh-CN"/>
        </w:rPr>
        <w:t>（1）原材料、构配件的存放必须符合标准化要求。</w:t>
      </w:r>
      <w:bookmarkEnd w:id="840"/>
      <w:bookmarkEnd w:id="841"/>
      <w:bookmarkEnd w:id="842"/>
      <w:bookmarkEnd w:id="84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（2）各保管部门要按照安全、质量、环保三个体系贯标要求做好存放场地的建设管理工作。主材库存周转量及管理原则上按工程平均消耗物资的一个月用量储存考虑，其它料按15天用量进行储存。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（3）强化物资、设备现场管理。现场物资堆放要做 到存放合理，下垫上盖，堆码整齐，标识清楚，存料场地要考虑防火、防洪、防盗，避免不必要的损失。</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（4）拌合站原材料储备场所采用混凝土硬化处理， 不同材料之间采用隔墙分离，同一规格的材料也应做分仓 处理，现场合格材料、不合格材料、待检材料标识清楚，以防混淆。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44" w:name="_Toc15753"/>
      <w:bookmarkStart w:id="845" w:name="_Toc424"/>
      <w:bookmarkStart w:id="846" w:name="_Toc13557"/>
      <w:bookmarkStart w:id="847" w:name="_Toc3933"/>
      <w:r>
        <w:rPr>
          <w:rFonts w:hint="eastAsia" w:asciiTheme="minorEastAsia" w:hAnsiTheme="minorEastAsia" w:eastAsiaTheme="minorEastAsia" w:cstheme="minorEastAsia"/>
          <w:b w:val="0"/>
          <w:bCs w:val="0"/>
          <w:sz w:val="24"/>
          <w:lang w:val="en-US" w:eastAsia="zh-CN"/>
        </w:rPr>
        <w:t>17、质量创优管理制度</w:t>
      </w:r>
      <w:bookmarkEnd w:id="844"/>
      <w:bookmarkEnd w:id="845"/>
      <w:bookmarkEnd w:id="846"/>
      <w:bookmarkEnd w:id="84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（1）计划创优质工程的项目，应强化过程控制，大 力应用“ 四新 ”技术，加大QC小组攻关力度，全面提升工程质量水平，确保工程一次成优。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（2）施工中应及时收集、整理技术资料及管理资料 , 及时总结质量、安全、技术、文明施工等方面取得的成果。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48" w:name="_Toc12190"/>
      <w:bookmarkStart w:id="849" w:name="_Toc28639"/>
      <w:bookmarkStart w:id="850" w:name="_Toc9998"/>
      <w:bookmarkStart w:id="851" w:name="_Toc28326"/>
      <w:r>
        <w:rPr>
          <w:rFonts w:hint="eastAsia" w:asciiTheme="minorEastAsia" w:hAnsiTheme="minorEastAsia" w:eastAsiaTheme="minorEastAsia" w:cstheme="minorEastAsia"/>
          <w:b w:val="0"/>
          <w:bCs w:val="0"/>
          <w:sz w:val="24"/>
          <w:lang w:val="en-US" w:eastAsia="zh-CN"/>
        </w:rPr>
        <w:t>18、接受项目实施机构和省市政府行政主管部门的检查制度</w:t>
      </w:r>
      <w:bookmarkEnd w:id="848"/>
      <w:bookmarkEnd w:id="849"/>
      <w:bookmarkEnd w:id="850"/>
      <w:bookmarkEnd w:id="85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严格遵守国务院颁发的《建设工程质量管理条例》 ( 国务院令第279号）及国家现行的工程质量验收标准。自始至终的坚决服从政府管理，接受政府及社会质量监督部门的监督，主动接受社会、群众的监督，建立“质量问题举报热线，确保实现质量目标。项目实施机构检查期间，项目公司派代表陪同监督和检查，提供监督和检查工作的必要条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52" w:name="_Toc18096"/>
      <w:bookmarkStart w:id="853" w:name="_Toc19614"/>
      <w:bookmarkStart w:id="854" w:name="_Toc32638"/>
      <w:bookmarkStart w:id="855" w:name="_Toc4205"/>
      <w:r>
        <w:rPr>
          <w:rFonts w:hint="eastAsia" w:asciiTheme="minorEastAsia" w:hAnsiTheme="minorEastAsia" w:eastAsiaTheme="minorEastAsia" w:cstheme="minorEastAsia"/>
          <w:b w:val="0"/>
          <w:bCs w:val="0"/>
          <w:sz w:val="24"/>
          <w:lang w:val="en-US" w:eastAsia="zh-CN"/>
        </w:rPr>
        <w:t>19建立完善的质量检查制度</w:t>
      </w:r>
      <w:bookmarkEnd w:id="852"/>
      <w:bookmarkEnd w:id="853"/>
      <w:bookmarkEnd w:id="854"/>
      <w:bookmarkEnd w:id="85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建立完善的质量检查制度，各职能部门必须按职责要求，在所管范围内开展日常、不定期或专业的质量检查，定期检查都必须组成由领导负责，相关部门参加的检查组 。检查工作必须有计划，明确检查的要求和目的。对检查发现的问题，应及时定出纠正或预防整改措施、落实人员, 限期整改和验证闭合。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56" w:name="_Toc4785"/>
      <w:bookmarkStart w:id="857" w:name="_Toc6337"/>
      <w:bookmarkStart w:id="858" w:name="_Toc28689"/>
      <w:bookmarkStart w:id="859" w:name="_Toc17829"/>
      <w:r>
        <w:rPr>
          <w:rFonts w:hint="eastAsia" w:asciiTheme="minorEastAsia" w:hAnsiTheme="minorEastAsia" w:eastAsiaTheme="minorEastAsia" w:cstheme="minorEastAsia"/>
          <w:b w:val="0"/>
          <w:bCs w:val="0"/>
          <w:sz w:val="24"/>
          <w:lang w:val="en-US" w:eastAsia="zh-CN"/>
        </w:rPr>
        <w:t>20、专项施工方案和作业指导书编制审查制度</w:t>
      </w:r>
      <w:bookmarkEnd w:id="856"/>
      <w:bookmarkEnd w:id="857"/>
      <w:bookmarkEnd w:id="858"/>
      <w:bookmarkEnd w:id="85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60" w:name="_Toc11693"/>
      <w:bookmarkStart w:id="861" w:name="_Toc14646"/>
      <w:bookmarkStart w:id="862" w:name="_Toc5200"/>
      <w:bookmarkStart w:id="863" w:name="_Toc24662"/>
      <w:r>
        <w:rPr>
          <w:rFonts w:hint="eastAsia" w:asciiTheme="minorEastAsia" w:hAnsiTheme="minorEastAsia" w:eastAsiaTheme="minorEastAsia" w:cstheme="minorEastAsia"/>
          <w:b w:val="0"/>
          <w:bCs w:val="0"/>
          <w:sz w:val="24"/>
          <w:lang w:val="en-US" w:eastAsia="zh-CN"/>
        </w:rPr>
        <w:t>（1）专项施工方案编制审查制度</w:t>
      </w:r>
      <w:bookmarkEnd w:id="860"/>
      <w:bookmarkEnd w:id="861"/>
      <w:bookmarkEnd w:id="862"/>
      <w:bookmarkEnd w:id="86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一般危险性工程专项施工方案：依据《建设工程安全生产管理条例》规定，针对达到一定规模的危险性较大的分部分项工程，由施工单位在施工前单独编制的安全专项施工方案。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重大危险性工程专项施工方案：依据《建设工程安全 生产管理条例》规定，针对达到一定规模的危险性较大的分部分项工程中涉及高大模板工程，标段项目部还应当组织专家进行论证、审查的安全专项施工方案。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专项施工方案是进行现场安全管理的实施性文件，一经审核批准必须严格落实执行，并有专职安全生产管理人员进行现场监督。专项施工方案、安全技术交底、有培训书面记录和签字，确保施工作业人员清楚掌握施工方案的安全技术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64" w:name="_Toc5731"/>
      <w:bookmarkStart w:id="865" w:name="_Toc32365"/>
      <w:bookmarkStart w:id="866" w:name="_Toc15856"/>
      <w:bookmarkStart w:id="867" w:name="_Toc6237"/>
      <w:r>
        <w:rPr>
          <w:rFonts w:hint="eastAsia" w:asciiTheme="minorEastAsia" w:hAnsiTheme="minorEastAsia" w:eastAsiaTheme="minorEastAsia" w:cstheme="minorEastAsia"/>
          <w:b w:val="0"/>
          <w:bCs w:val="0"/>
          <w:sz w:val="24"/>
          <w:lang w:val="en-US" w:eastAsia="zh-CN"/>
        </w:rPr>
        <w:t>（2）作业指导书编制审查制度</w:t>
      </w:r>
      <w:bookmarkEnd w:id="864"/>
      <w:bookmarkEnd w:id="865"/>
      <w:bookmarkEnd w:id="866"/>
      <w:bookmarkEnd w:id="86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施工作业指导书是控制工作质量的指导性文件，它是施工人员进行作业的主要依据之一。编制作业指导书的目 的是使施工人员了解所要进行作业的基本情况，明确作业 的深度，掌握工艺流程、操作方法步骤、质量标准、安全措施、节约措施等，从而提供技术、组织和安全保证。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施工单位作业指导书按工艺标准进行编写，作为单位工程组织设计的组成部分。根据工程实际需要可按专业、工艺、设备编写通用作业指导书，重点设备安装调试和重 点工艺应单独编写作业指导书。作业指导书由专业技术员或专业工程师（项目部总工）在施工前编写。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868" w:name="_Toc10580"/>
      <w:bookmarkStart w:id="869" w:name="_Toc31664"/>
      <w:bookmarkStart w:id="870" w:name="_Toc29608"/>
      <w:bookmarkStart w:id="871" w:name="_Toc21968"/>
      <w:r>
        <w:rPr>
          <w:rFonts w:hint="eastAsia" w:asciiTheme="minorEastAsia" w:hAnsiTheme="minorEastAsia" w:eastAsiaTheme="minorEastAsia" w:cstheme="minorEastAsia"/>
          <w:b w:val="0"/>
          <w:bCs w:val="0"/>
          <w:sz w:val="24"/>
          <w:lang w:val="en-US" w:eastAsia="zh-CN"/>
        </w:rPr>
        <w:t>21、质量验收及三检制度</w:t>
      </w:r>
      <w:bookmarkEnd w:id="868"/>
      <w:bookmarkEnd w:id="869"/>
      <w:bookmarkEnd w:id="870"/>
      <w:bookmarkEnd w:id="87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72" w:name="_Toc14199"/>
      <w:bookmarkStart w:id="873" w:name="_Toc2155"/>
      <w:bookmarkStart w:id="874" w:name="_Toc23407"/>
      <w:bookmarkStart w:id="875" w:name="_Toc10235"/>
      <w:r>
        <w:rPr>
          <w:rFonts w:hint="eastAsia" w:asciiTheme="minorEastAsia" w:hAnsiTheme="minorEastAsia" w:eastAsiaTheme="minorEastAsia" w:cstheme="minorEastAsia"/>
          <w:b w:val="0"/>
          <w:bCs w:val="0"/>
          <w:sz w:val="24"/>
          <w:lang w:val="en-US" w:eastAsia="zh-CN"/>
        </w:rPr>
        <w:t>（1）自检验收制度</w:t>
      </w:r>
      <w:bookmarkEnd w:id="872"/>
      <w:bookmarkEnd w:id="873"/>
      <w:bookmarkEnd w:id="874"/>
      <w:bookmarkEnd w:id="87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每位施工人员对施工的分项工程随时进行自检，发现不合格的及时返修，不留质量隐患，每道工序施工完成后必须要进行自检，合格后方可进行下道工序的施工并将自检实测数据填写在自检记录上，交质检人员复查核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76" w:name="_Toc17755"/>
      <w:bookmarkStart w:id="877" w:name="_Toc26403"/>
      <w:bookmarkStart w:id="878" w:name="_Toc17766"/>
      <w:bookmarkStart w:id="879" w:name="_Toc22133"/>
      <w:r>
        <w:rPr>
          <w:rFonts w:hint="eastAsia" w:asciiTheme="minorEastAsia" w:hAnsiTheme="minorEastAsia" w:eastAsiaTheme="minorEastAsia" w:cstheme="minorEastAsia"/>
          <w:b w:val="0"/>
          <w:bCs w:val="0"/>
          <w:sz w:val="24"/>
          <w:lang w:val="en-US" w:eastAsia="zh-CN"/>
        </w:rPr>
        <w:t>（2）互检验收制度</w:t>
      </w:r>
      <w:bookmarkEnd w:id="876"/>
      <w:bookmarkEnd w:id="877"/>
      <w:bookmarkEnd w:id="878"/>
      <w:bookmarkEnd w:id="87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施工班组对施工的分项工程互相进行检查，发现不合 格处及时相互通报，加以纠正。总工、质检工程师要及时 组织班组、质检人员、施工人员互相检查，督促上道工序, 搞好本道工序，服务下道工序。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80" w:name="_Toc6436"/>
      <w:bookmarkStart w:id="881" w:name="_Toc1525"/>
      <w:bookmarkStart w:id="882" w:name="_Toc28315"/>
      <w:bookmarkStart w:id="883" w:name="_Toc16451"/>
      <w:r>
        <w:rPr>
          <w:rFonts w:hint="eastAsia" w:asciiTheme="minorEastAsia" w:hAnsiTheme="minorEastAsia" w:eastAsiaTheme="minorEastAsia" w:cstheme="minorEastAsia"/>
          <w:b w:val="0"/>
          <w:bCs w:val="0"/>
          <w:sz w:val="24"/>
          <w:lang w:val="en-US" w:eastAsia="zh-CN"/>
        </w:rPr>
        <w:t>（3）交接检验收制度</w:t>
      </w:r>
      <w:bookmarkEnd w:id="880"/>
      <w:bookmarkEnd w:id="881"/>
      <w:bookmarkEnd w:id="882"/>
      <w:bookmarkEnd w:id="88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工序交接检查在双方自检的基础上进行抽检认定后 方能办理工序交接检手续，凡不符合质量要求的不准办理交接手续。</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工序交接由班组长或兼职质检员负责，班组交接由项 目负责人或质检工程师组织，在交接检查过程中要树立为下道工序服务的思想。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84" w:name="_Toc15719"/>
      <w:bookmarkStart w:id="885" w:name="_Toc14497"/>
      <w:bookmarkStart w:id="886" w:name="_Toc15575"/>
      <w:bookmarkStart w:id="887" w:name="_Toc28212"/>
      <w:r>
        <w:rPr>
          <w:rFonts w:hint="eastAsia" w:asciiTheme="minorEastAsia" w:hAnsiTheme="minorEastAsia" w:eastAsiaTheme="minorEastAsia" w:cstheme="minorEastAsia"/>
          <w:b w:val="0"/>
          <w:bCs w:val="0"/>
          <w:sz w:val="24"/>
          <w:lang w:val="en-US" w:eastAsia="zh-CN"/>
        </w:rPr>
        <w:t>（4）隐蔽工程检查验收制度</w:t>
      </w:r>
      <w:bookmarkEnd w:id="884"/>
      <w:bookmarkEnd w:id="885"/>
      <w:bookmarkEnd w:id="886"/>
      <w:bookmarkEnd w:id="88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严格按程序检查，以防质量隐患，在班组自检、互检 和交接检合格的基础上报质检工程师进行隐蔽检查，最后 交监理工程师检查签认后方可隐蔽，隐蔽工程必须按规定填写隐蔽工程检查证并填写施工日志。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88" w:name="_Toc16728"/>
      <w:bookmarkStart w:id="889" w:name="_Toc20438"/>
      <w:bookmarkStart w:id="890" w:name="_Toc12957"/>
      <w:bookmarkStart w:id="891" w:name="_Toc20818"/>
      <w:r>
        <w:rPr>
          <w:rFonts w:hint="eastAsia" w:asciiTheme="minorEastAsia" w:hAnsiTheme="minorEastAsia" w:eastAsiaTheme="minorEastAsia" w:cstheme="minorEastAsia"/>
          <w:b w:val="0"/>
          <w:bCs w:val="0"/>
          <w:sz w:val="24"/>
          <w:lang w:val="en-US" w:eastAsia="zh-CN"/>
        </w:rPr>
        <w:t>（5）测量换手复核检查验收制度</w:t>
      </w:r>
      <w:bookmarkEnd w:id="888"/>
      <w:bookmarkEnd w:id="889"/>
      <w:bookmarkEnd w:id="890"/>
      <w:bookmarkEnd w:id="89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测量资料须经换手复核；控制测量交总工程师审核后 报监理工程师批准，现场测量基线、水准点及有关标志均须进行定期复测检验。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92" w:name="_Toc15009"/>
      <w:bookmarkStart w:id="893" w:name="_Toc16106"/>
      <w:bookmarkStart w:id="894" w:name="_Toc6070"/>
      <w:bookmarkStart w:id="895" w:name="_Toc5089"/>
      <w:r>
        <w:rPr>
          <w:rFonts w:hint="eastAsia" w:asciiTheme="minorEastAsia" w:hAnsiTheme="minorEastAsia" w:eastAsiaTheme="minorEastAsia" w:cstheme="minorEastAsia"/>
          <w:b w:val="0"/>
          <w:bCs w:val="0"/>
          <w:sz w:val="24"/>
          <w:lang w:val="en-US" w:eastAsia="zh-CN"/>
        </w:rPr>
        <w:t>（6）实行严格的“跟踪检测 ”制度</w:t>
      </w:r>
      <w:bookmarkEnd w:id="892"/>
      <w:bookmarkEnd w:id="893"/>
      <w:bookmarkEnd w:id="894"/>
      <w:bookmarkEnd w:id="8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检测工作将根据施工过程按跟踪检查、复检和抽检三种方式进行，绝不放过任何质量隐患。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（7）原材料及成品或半成品检验制度对采购进场的原材料及成品或半成品由试验室组织有关人员进行验收检查，内容包括：</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①进场货物的品种、规格、数量是否符合采购计划。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②供应厂家的产品合格证或检验报告是否齐全。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③产品现场质量检查验收记录。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④取样进行试验并填写试验报告。对检验合格的产品分类、分批堆放并设立标志卡，坚持按用途对口保管、发 放、不得混杂，对易受潮的物品做好防雨和防潮工作；对检验不合格的产品立即清除出场。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896" w:name="_Toc11342"/>
      <w:bookmarkStart w:id="897" w:name="_Toc1614"/>
      <w:bookmarkStart w:id="898" w:name="_Toc12731"/>
      <w:bookmarkStart w:id="899" w:name="_Toc12184"/>
      <w:r>
        <w:rPr>
          <w:rFonts w:hint="eastAsia" w:asciiTheme="minorEastAsia" w:hAnsiTheme="minorEastAsia" w:eastAsiaTheme="minorEastAsia" w:cstheme="minorEastAsia"/>
          <w:b w:val="0"/>
          <w:bCs w:val="0"/>
          <w:sz w:val="24"/>
          <w:lang w:val="en-US" w:eastAsia="zh-CN"/>
        </w:rPr>
        <w:t>（8）机械仪器设备定期检验标定制度</w:t>
      </w:r>
      <w:bookmarkEnd w:id="896"/>
      <w:bookmarkEnd w:id="897"/>
      <w:bookmarkEnd w:id="898"/>
      <w:bookmarkEnd w:id="89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测试仪器设备按照施工技术规范进行定期或不定期的检定；新购置的测试仪器设备使用前进行标定，取得标定合格证书后方可使用。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由专人负责检查、监督并设立帐卡档案，记录好每次标定的时间和标定的结论，定期进行回访。</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900" w:name="_Toc26630"/>
      <w:bookmarkStart w:id="901" w:name="_Toc12395"/>
      <w:bookmarkStart w:id="902" w:name="_Toc31976"/>
      <w:bookmarkStart w:id="903" w:name="_Toc11214"/>
      <w:r>
        <w:rPr>
          <w:rFonts w:hint="eastAsia" w:asciiTheme="minorEastAsia" w:hAnsiTheme="minorEastAsia" w:eastAsiaTheme="minorEastAsia" w:cstheme="minorEastAsia"/>
          <w:b w:val="0"/>
          <w:bCs w:val="0"/>
          <w:sz w:val="24"/>
          <w:lang w:val="en-US" w:eastAsia="zh-CN"/>
        </w:rPr>
        <w:t>22、工程质量检测和试验制度</w:t>
      </w:r>
      <w:bookmarkEnd w:id="900"/>
      <w:bookmarkEnd w:id="901"/>
      <w:bookmarkEnd w:id="902"/>
      <w:bookmarkEnd w:id="90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04" w:name="_Toc20771"/>
      <w:bookmarkStart w:id="905" w:name="_Toc12196"/>
      <w:bookmarkStart w:id="906" w:name="_Toc25675"/>
      <w:bookmarkStart w:id="907" w:name="_Toc25810"/>
      <w:r>
        <w:rPr>
          <w:rFonts w:hint="eastAsia" w:asciiTheme="minorEastAsia" w:hAnsiTheme="minorEastAsia" w:eastAsiaTheme="minorEastAsia" w:cstheme="minorEastAsia"/>
          <w:b w:val="0"/>
          <w:bCs w:val="0"/>
          <w:sz w:val="24"/>
          <w:lang w:val="en-US" w:eastAsia="zh-CN"/>
        </w:rPr>
        <w:t>（1）检测人员根据规范要求频率进行自检。</w:t>
      </w:r>
      <w:bookmarkEnd w:id="904"/>
      <w:bookmarkEnd w:id="905"/>
      <w:bookmarkEnd w:id="906"/>
      <w:bookmarkEnd w:id="90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（2）检测所用的各种试验仪器设备，必须处于正常状态，不符合规范要求的不予使用。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（3）用于实体工程的各种材料必须经过试验检测合格，必须经过监理见证或平行试验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（4）对需要外委检测项目经技术总工同意后，报监理批准后，送指定试验室检测。</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（5）所有试验上报必须经试验监理工程师签字确认后，方可上报、存档。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08" w:name="_Toc28186"/>
      <w:bookmarkStart w:id="909" w:name="_Toc29205"/>
      <w:bookmarkStart w:id="910" w:name="_Toc11922"/>
      <w:bookmarkStart w:id="911" w:name="_Toc30719"/>
      <w:r>
        <w:rPr>
          <w:rFonts w:hint="eastAsia" w:asciiTheme="minorEastAsia" w:hAnsiTheme="minorEastAsia" w:eastAsiaTheme="minorEastAsia" w:cstheme="minorEastAsia"/>
          <w:b w:val="0"/>
          <w:bCs w:val="0"/>
          <w:sz w:val="24"/>
          <w:lang w:val="en-US" w:eastAsia="zh-CN"/>
        </w:rPr>
        <w:t>（6）原始记录与数据处理</w:t>
      </w:r>
      <w:bookmarkEnd w:id="908"/>
      <w:bookmarkEnd w:id="909"/>
      <w:bookmarkEnd w:id="910"/>
      <w:bookmarkEnd w:id="91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①原始记录应按统一格式填写。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②原始记录所列文字、数字清晰、工整，一律使用法定计量单位。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③记录有误需修改时。加盖本人私章，正确数字写在改换数字的上方。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④检测数据有的效位数与检测系统的准确度相适应，且符合规范要求。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⑤原始记录应保持其原始值的严肃性，不得弄虚作假。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12" w:name="_Toc14755"/>
      <w:bookmarkStart w:id="913" w:name="_Toc7721"/>
      <w:bookmarkStart w:id="914" w:name="_Toc4983"/>
      <w:bookmarkStart w:id="915" w:name="_Toc18167"/>
      <w:r>
        <w:rPr>
          <w:rFonts w:hint="eastAsia" w:asciiTheme="minorEastAsia" w:hAnsiTheme="minorEastAsia" w:eastAsiaTheme="minorEastAsia" w:cstheme="minorEastAsia"/>
          <w:b w:val="0"/>
          <w:bCs w:val="0"/>
          <w:sz w:val="24"/>
          <w:lang w:val="en-US" w:eastAsia="zh-CN"/>
        </w:rPr>
        <w:t>（7）检测报告的审查与申报</w:t>
      </w:r>
      <w:bookmarkEnd w:id="912"/>
      <w:bookmarkEnd w:id="913"/>
      <w:bookmarkEnd w:id="914"/>
      <w:bookmarkEnd w:id="91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①检测人员检测完毕后，按要求填写原始记录并经复核后签名、交表。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②对原始记录进行复核，主要校核内容包括计算公式 、参数、检测精度、仪器状态、测试结果、表示方法、曲线绘制、计量单位等校核后交试验工程师。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③试验工程师收到原始记录后进行验收复核，并抽部分结果进行复算，且进行数据统计整理，做出测试质量判断后交试验室主任。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④凡自检或抽检试验数据，超出允许偶然误差范围的, 应及时通知复检或返工，直到合格。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⑤试验室主任对试验报告进行审核、盖章、签字、上报。</w:t>
      </w:r>
    </w:p>
    <w:p>
      <w:pPr>
        <w:pStyle w:val="10"/>
        <w:bidi w:val="0"/>
        <w:ind w:firstLine="482" w:firstLineChars="200"/>
        <w:outlineLvl w:val="2"/>
        <w:rPr>
          <w:rFonts w:hint="eastAsia"/>
          <w:lang w:val="en-US" w:eastAsia="zh-CN"/>
        </w:rPr>
      </w:pPr>
      <w:bookmarkStart w:id="916" w:name="_Toc7913"/>
      <w:bookmarkStart w:id="917" w:name="_Toc10028"/>
      <w:bookmarkStart w:id="918" w:name="_Toc11526"/>
      <w:bookmarkStart w:id="919" w:name="_Toc2234"/>
      <w:r>
        <w:rPr>
          <w:rFonts w:hint="eastAsia" w:ascii="宋体" w:hAnsi="宋体" w:eastAsia="宋体" w:cs="宋体"/>
          <w:lang w:val="en-US" w:eastAsia="zh-CN"/>
        </w:rPr>
        <w:t>6.2.2.6 施工质量的系统控制</w:t>
      </w:r>
      <w:bookmarkEnd w:id="916"/>
      <w:bookmarkEnd w:id="917"/>
      <w:bookmarkEnd w:id="918"/>
      <w:bookmarkEnd w:id="91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lang w:val="en-US" w:eastAsia="zh-CN"/>
        </w:rPr>
      </w:pPr>
      <w:bookmarkStart w:id="920" w:name="_Toc2100"/>
      <w:bookmarkStart w:id="921" w:name="_Toc31582"/>
      <w:bookmarkStart w:id="922" w:name="_Toc7078"/>
      <w:bookmarkStart w:id="923" w:name="_Toc28155"/>
      <w:r>
        <w:rPr>
          <w:rFonts w:hint="eastAsia" w:asciiTheme="minorEastAsia" w:hAnsiTheme="minorEastAsia" w:eastAsiaTheme="minorEastAsia" w:cstheme="minorEastAsia"/>
          <w:b w:val="0"/>
          <w:bCs w:val="0"/>
          <w:sz w:val="24"/>
          <w:lang w:val="en-US" w:eastAsia="zh-CN"/>
        </w:rPr>
        <w:t>1、施工准备控制</w:t>
      </w:r>
      <w:bookmarkEnd w:id="920"/>
      <w:bookmarkEnd w:id="921"/>
      <w:bookmarkEnd w:id="922"/>
      <w:bookmarkEnd w:id="9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24" w:name="_Toc19980"/>
      <w:bookmarkStart w:id="925" w:name="_Toc24653"/>
      <w:bookmarkStart w:id="926" w:name="_Toc20521"/>
      <w:bookmarkStart w:id="927" w:name="_Toc30843"/>
      <w:r>
        <w:rPr>
          <w:rFonts w:hint="eastAsia" w:asciiTheme="minorEastAsia" w:hAnsiTheme="minorEastAsia" w:eastAsiaTheme="minorEastAsia" w:cstheme="minorEastAsia"/>
          <w:b w:val="0"/>
          <w:bCs w:val="0"/>
          <w:sz w:val="24"/>
          <w:lang w:val="en-US" w:eastAsia="zh-CN"/>
        </w:rPr>
        <w:t>（1）技术交底和图纸复核；</w:t>
      </w:r>
      <w:bookmarkEnd w:id="924"/>
      <w:bookmarkEnd w:id="925"/>
      <w:bookmarkEnd w:id="926"/>
      <w:bookmarkEnd w:id="92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（2）施工组织设计及项目质量计划的审核，施工方案、方法、工艺、流程的审核把关，施工进度计划对质量的保证，施工平面布置对质量的影响，施工措施对质量的保证；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（3）生产要素配备控制质量；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（4）健全质量控制系统的组织；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（5）完善质量管理体系，优选有高速养护施工资格和能力的管理人员和作业人员；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（6）建立原材料、成品、半成品的控制措施；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（7）把好机械设备配置质量关；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（8）创造良好的工程施工技术环境；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（9）做好现场施工环境管理；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（10）开工把关，不具备条件的不可牵强开工。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928" w:name="_Toc9812"/>
      <w:bookmarkStart w:id="929" w:name="_Toc18298"/>
      <w:bookmarkStart w:id="930" w:name="_Toc28389"/>
      <w:bookmarkStart w:id="931" w:name="_Toc22900"/>
      <w:r>
        <w:rPr>
          <w:rFonts w:hint="eastAsia" w:asciiTheme="minorEastAsia" w:hAnsiTheme="minorEastAsia" w:eastAsiaTheme="minorEastAsia" w:cstheme="minorEastAsia"/>
          <w:b w:val="0"/>
          <w:bCs w:val="0"/>
          <w:sz w:val="24"/>
          <w:lang w:val="en-US" w:eastAsia="zh-CN"/>
        </w:rPr>
        <w:t>2、施工过程控制</w:t>
      </w:r>
      <w:bookmarkEnd w:id="928"/>
      <w:bookmarkEnd w:id="929"/>
      <w:bookmarkEnd w:id="930"/>
      <w:bookmarkEnd w:id="93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（1）做好技术交底工作，交底要明确具体，注明施工工艺和质量标准，质量控制要点，交底手续齐全并形成质量记录；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（2）重视施工过程质量控制，过程是形成实体质量的关键环节，加强过程控制的检验试验和工序交接检工作;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（3）加强中间产品的质量控制，检验批、分项分部工程质量验收，严格工程变更控制。</w:t>
      </w:r>
    </w:p>
    <w:p>
      <w:pPr>
        <w:pStyle w:val="11"/>
        <w:keepNext w:val="0"/>
        <w:keepLines w:val="0"/>
        <w:pageBreakBefore w:val="0"/>
        <w:widowControl/>
        <w:numPr>
          <w:ilvl w:val="0"/>
          <w:numId w:val="2"/>
        </w:numPr>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932" w:name="_Toc28313"/>
      <w:bookmarkStart w:id="933" w:name="_Toc29146"/>
      <w:bookmarkStart w:id="934" w:name="_Toc22050"/>
      <w:bookmarkStart w:id="935" w:name="_Toc18316"/>
      <w:r>
        <w:rPr>
          <w:rFonts w:hint="eastAsia" w:asciiTheme="minorEastAsia" w:hAnsiTheme="minorEastAsia" w:eastAsiaTheme="minorEastAsia" w:cstheme="minorEastAsia"/>
          <w:b w:val="0"/>
          <w:bCs w:val="0"/>
          <w:sz w:val="24"/>
          <w:lang w:val="en-US" w:eastAsia="zh-CN"/>
        </w:rPr>
        <w:t>竣工验收控制</w:t>
      </w:r>
      <w:bookmarkEnd w:id="932"/>
      <w:bookmarkEnd w:id="933"/>
      <w:bookmarkEnd w:id="934"/>
      <w:bookmarkEnd w:id="93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（1）严格按国家或河北省关于施工的新标准、新规范和强制性要求等组织相关人员进行验收。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bCs/>
          <w:sz w:val="24"/>
          <w:lang w:val="en-US" w:eastAsia="zh-CN"/>
        </w:rPr>
      </w:pPr>
      <w:bookmarkStart w:id="936" w:name="_Toc4116"/>
      <w:bookmarkStart w:id="937" w:name="_Toc32399"/>
      <w:bookmarkStart w:id="938" w:name="_Toc24573"/>
      <w:bookmarkStart w:id="939" w:name="_Toc27532"/>
      <w:r>
        <w:rPr>
          <w:rFonts w:hint="eastAsia" w:asciiTheme="minorEastAsia" w:hAnsiTheme="minorEastAsia" w:eastAsiaTheme="minorEastAsia" w:cstheme="minorEastAsia"/>
          <w:b w:val="0"/>
          <w:bCs w:val="0"/>
          <w:sz w:val="24"/>
          <w:lang w:val="en-US" w:eastAsia="zh-CN"/>
        </w:rPr>
        <w:t>（2）严格工程质量评定，竣工文件的编制、归档工作。</w:t>
      </w:r>
      <w:bookmarkEnd w:id="936"/>
      <w:bookmarkEnd w:id="937"/>
      <w:bookmarkEnd w:id="938"/>
      <w:bookmarkEnd w:id="939"/>
    </w:p>
    <w:p>
      <w:pPr>
        <w:pStyle w:val="9"/>
        <w:bidi w:val="0"/>
        <w:spacing w:before="0" w:after="0" w:line="240" w:lineRule="auto"/>
        <w:ind w:firstLine="482" w:firstLineChars="200"/>
        <w:rPr>
          <w:rFonts w:hint="eastAsia" w:ascii="宋体" w:hAnsi="宋体" w:eastAsia="宋体" w:cs="宋体"/>
          <w:sz w:val="24"/>
          <w:szCs w:val="24"/>
          <w:lang w:val="en-US" w:eastAsia="zh-CN"/>
        </w:rPr>
      </w:pPr>
      <w:bookmarkStart w:id="940" w:name="_Toc32550"/>
      <w:bookmarkStart w:id="941" w:name="_Toc16755"/>
      <w:bookmarkStart w:id="942" w:name="_Toc9740"/>
      <w:bookmarkStart w:id="943" w:name="_Toc30599"/>
      <w:r>
        <w:rPr>
          <w:rFonts w:hint="eastAsia" w:ascii="宋体" w:hAnsi="宋体" w:eastAsia="宋体" w:cs="宋体"/>
          <w:sz w:val="24"/>
          <w:szCs w:val="24"/>
          <w:lang w:val="en-US" w:eastAsia="zh-CN"/>
        </w:rPr>
        <w:t>6.2.3质量保证措施</w:t>
      </w:r>
      <w:bookmarkEnd w:id="940"/>
      <w:bookmarkEnd w:id="941"/>
      <w:bookmarkEnd w:id="942"/>
      <w:bookmarkEnd w:id="943"/>
    </w:p>
    <w:p>
      <w:pPr>
        <w:pStyle w:val="10"/>
        <w:bidi w:val="0"/>
        <w:ind w:firstLine="482" w:firstLineChars="200"/>
        <w:rPr>
          <w:rFonts w:hint="eastAsia" w:ascii="宋体" w:hAnsi="宋体" w:eastAsia="宋体" w:cs="宋体"/>
          <w:lang w:val="en-US" w:eastAsia="zh-CN"/>
        </w:rPr>
      </w:pPr>
      <w:bookmarkStart w:id="944" w:name="_Toc7009"/>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"4.2.3.1"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6.2.3.1</w:t>
      </w:r>
      <w:r>
        <w:rPr>
          <w:rFonts w:hint="eastAsia" w:ascii="宋体" w:hAnsi="宋体" w:eastAsia="宋体" w:cs="宋体"/>
          <w:lang w:val="en-US" w:eastAsia="zh-CN"/>
        </w:rPr>
        <w:fldChar w:fldCharType="end"/>
      </w:r>
      <w:r>
        <w:rPr>
          <w:rFonts w:hint="eastAsia" w:ascii="宋体" w:hAnsi="宋体" w:eastAsia="宋体" w:cs="宋体"/>
          <w:lang w:val="en-US" w:eastAsia="zh-CN"/>
        </w:rPr>
        <w:t>组织保证措施</w:t>
      </w:r>
      <w:bookmarkEnd w:id="94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项目部成立质量管理领导小组，强化对工程技术、质量的管理，确保按照技术规范进行施工。同时成立以专业工程师负责的质量控制机构 , 领导测量、试验和质检等专业工程师对施工质量进行控制，监督施工人员严格按照设计及技术规范进行施工。各施工班组设立专职或兼职的质量监督员，负责本工程按规范施工，并对本班组施工的各工序进行自检，参加工序交接工作。</w:t>
      </w:r>
    </w:p>
    <w:p>
      <w:pPr>
        <w:pStyle w:val="10"/>
        <w:bidi w:val="0"/>
        <w:ind w:firstLine="482" w:firstLineChars="200"/>
        <w:rPr>
          <w:rFonts w:hint="eastAsia"/>
          <w:lang w:val="en-US" w:eastAsia="zh-CN"/>
        </w:rPr>
      </w:pPr>
      <w:bookmarkStart w:id="945" w:name="_Toc22182"/>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"4.2.3.2"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6.2.3.2</w:t>
      </w:r>
      <w:r>
        <w:rPr>
          <w:rFonts w:hint="eastAsia" w:ascii="宋体" w:hAnsi="宋体" w:eastAsia="宋体" w:cs="宋体"/>
          <w:lang w:val="en-US" w:eastAsia="zh-CN"/>
        </w:rPr>
        <w:fldChar w:fldCharType="end"/>
      </w:r>
      <w:r>
        <w:rPr>
          <w:rFonts w:hint="eastAsia" w:ascii="宋体" w:hAnsi="宋体" w:eastAsia="宋体" w:cs="宋体"/>
          <w:lang w:val="en-US" w:eastAsia="zh-CN"/>
        </w:rPr>
        <w:t>制度保证措施</w:t>
      </w:r>
      <w:bookmarkEnd w:id="94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项目进场后结合本项目特点及质量目标完善并细化项目部各项质量管理制度，按照各项质量管理制度，开展日常质量活动，并通过内部和外部质量审核，保证质量体系有效运行。具体质量管理制度如上已述。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0"/>
        <w:bidi w:val="0"/>
        <w:ind w:firstLine="482" w:firstLineChars="200"/>
        <w:rPr>
          <w:rFonts w:hint="eastAsia" w:ascii="宋体" w:hAnsi="宋体" w:eastAsia="宋体" w:cs="宋体"/>
          <w:b/>
          <w:bCs/>
          <w:sz w:val="24"/>
          <w:lang w:val="en-US" w:eastAsia="zh-CN"/>
        </w:rPr>
      </w:pPr>
      <w:bookmarkStart w:id="946" w:name="_Toc20506"/>
      <w:r>
        <w:rPr>
          <w:rFonts w:hint="eastAsia" w:ascii="宋体" w:hAnsi="宋体" w:eastAsia="宋体" w:cs="宋体"/>
          <w:b/>
          <w:bCs/>
          <w:sz w:val="24"/>
          <w:lang w:val="en-US" w:eastAsia="zh-CN"/>
        </w:rPr>
        <w:fldChar w:fldCharType="begin"/>
      </w:r>
      <w:r>
        <w:rPr>
          <w:rFonts w:hint="eastAsia" w:ascii="宋体" w:hAnsi="宋体" w:eastAsia="宋体" w:cs="宋体"/>
          <w:b/>
          <w:bCs/>
          <w:sz w:val="24"/>
          <w:lang w:val="en-US" w:eastAsia="zh-CN"/>
        </w:rPr>
        <w:instrText xml:space="preserve"> HYPERLINK "4.2.5.1" </w:instrText>
      </w:r>
      <w:r>
        <w:rPr>
          <w:rFonts w:hint="eastAsia" w:ascii="宋体" w:hAnsi="宋体" w:eastAsia="宋体" w:cs="宋体"/>
          <w:b/>
          <w:bCs/>
          <w:sz w:val="24"/>
          <w:lang w:val="en-US" w:eastAsia="zh-CN"/>
        </w:rPr>
        <w:fldChar w:fldCharType="separate"/>
      </w:r>
      <w:r>
        <w:rPr>
          <w:rFonts w:hint="eastAsia" w:ascii="宋体" w:hAnsi="宋体" w:eastAsia="宋体" w:cs="宋体"/>
          <w:b/>
          <w:bCs/>
          <w:sz w:val="24"/>
          <w:lang w:val="en-US" w:eastAsia="zh-CN"/>
        </w:rPr>
        <w:t>6.2.3.3</w:t>
      </w:r>
      <w:r>
        <w:rPr>
          <w:rFonts w:hint="eastAsia" w:ascii="宋体" w:hAnsi="宋体" w:eastAsia="宋体" w:cs="宋体"/>
          <w:b/>
          <w:bCs/>
          <w:sz w:val="24"/>
          <w:lang w:val="en-US" w:eastAsia="zh-CN"/>
        </w:rPr>
        <w:fldChar w:fldCharType="end"/>
      </w:r>
      <w:r>
        <w:rPr>
          <w:rFonts w:hint="eastAsia" w:ascii="宋体" w:hAnsi="宋体" w:eastAsia="宋体" w:cs="宋体"/>
          <w:b/>
          <w:bCs/>
          <w:sz w:val="24"/>
          <w:lang w:val="en-US" w:eastAsia="zh-CN"/>
        </w:rPr>
        <w:t>测量工作质量保证措施</w:t>
      </w:r>
      <w:bookmarkEnd w:id="94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1）测量工作质量保证重点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(1)选用精密仪器，分析各种影响因素，实施科学周密的测量方案;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(2)做好现场的测量标桩、结构物的定位线及高程水准点的保护，定期复核；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47" w:name="_Toc21580"/>
      <w:bookmarkStart w:id="948" w:name="_Toc4844"/>
      <w:bookmarkStart w:id="949" w:name="_Toc3749"/>
      <w:bookmarkStart w:id="950" w:name="_Toc23213"/>
      <w:r>
        <w:rPr>
          <w:rFonts w:hint="eastAsia" w:asciiTheme="minorEastAsia" w:hAnsiTheme="minorEastAsia" w:eastAsiaTheme="minorEastAsia" w:cstheme="minorEastAsia"/>
          <w:b w:val="0"/>
          <w:bCs w:val="0"/>
          <w:sz w:val="24"/>
          <w:lang w:val="en-US" w:eastAsia="zh-CN"/>
        </w:rPr>
        <w:t>(3)仪器专人专用，定期检验校核。</w:t>
      </w:r>
      <w:bookmarkEnd w:id="947"/>
      <w:bookmarkEnd w:id="948"/>
      <w:bookmarkEnd w:id="949"/>
      <w:bookmarkEnd w:id="95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951" w:name="_Toc14824"/>
      <w:bookmarkStart w:id="952" w:name="_Toc3139"/>
      <w:bookmarkStart w:id="953" w:name="_Toc3568"/>
      <w:bookmarkStart w:id="954" w:name="_Toc21328"/>
      <w:r>
        <w:rPr>
          <w:rFonts w:hint="eastAsia" w:asciiTheme="minorEastAsia" w:hAnsiTheme="minorEastAsia" w:eastAsiaTheme="minorEastAsia" w:cstheme="minorEastAsia"/>
          <w:b w:val="0"/>
          <w:bCs w:val="0"/>
          <w:sz w:val="24"/>
          <w:lang w:val="en-US" w:eastAsia="zh-CN"/>
        </w:rPr>
        <w:t>2）质量控制流程</w:t>
      </w:r>
      <w:bookmarkEnd w:id="951"/>
      <w:bookmarkEnd w:id="952"/>
      <w:bookmarkEnd w:id="953"/>
      <w:bookmarkEnd w:id="95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测量质量控制流程详见下图：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955" w:name="_Toc25860"/>
      <w:bookmarkStart w:id="956" w:name="_Toc31195"/>
      <w:bookmarkStart w:id="957" w:name="_Toc10651"/>
      <w:bookmarkStart w:id="958" w:name="_Toc30014"/>
      <w:r>
        <w:rPr>
          <w:rFonts w:hint="eastAsia" w:asciiTheme="minorEastAsia" w:hAnsiTheme="minorEastAsia" w:eastAsiaTheme="minorEastAsia" w:cstheme="minorEastAsia"/>
          <w:b w:val="0"/>
          <w:bCs w:val="0"/>
          <w:sz w:val="24"/>
          <w:lang w:val="en-US" w:eastAsia="zh-CN"/>
        </w:rPr>
        <w:t>3）测量质量过程管理</w:t>
      </w:r>
      <w:bookmarkEnd w:id="955"/>
      <w:bookmarkEnd w:id="956"/>
      <w:bookmarkEnd w:id="957"/>
      <w:bookmarkEnd w:id="95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(1)测量人员要按照施工进度和测量方案要求，现场测量放线工作, 作好施工测量日志。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59" w:name="_Toc16254"/>
      <w:bookmarkStart w:id="960" w:name="_Toc4999"/>
      <w:bookmarkStart w:id="961" w:name="_Toc1832"/>
      <w:bookmarkStart w:id="962" w:name="_Toc27848"/>
      <w:r>
        <w:rPr>
          <w:rFonts w:hint="eastAsia" w:asciiTheme="minorEastAsia" w:hAnsiTheme="minorEastAsia" w:eastAsiaTheme="minorEastAsia" w:cstheme="minorEastAsia"/>
          <w:b w:val="0"/>
          <w:bCs w:val="0"/>
          <w:sz w:val="24"/>
          <w:lang w:val="en-US" w:eastAsia="zh-CN"/>
        </w:rPr>
        <w:t>(2)现场使用的测量仪器设备应根据《测量仪器使用管理办法》的</w:t>
      </w:r>
      <w:bookmarkEnd w:id="959"/>
      <w:bookmarkEnd w:id="960"/>
      <w:bookmarkEnd w:id="961"/>
      <w:bookmarkEnd w:id="96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规定进行检校维护、保养并作好记录，发现问题后立即将仪器设备送检。</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63" w:name="_Toc6889"/>
      <w:bookmarkStart w:id="964" w:name="_Toc14845"/>
      <w:bookmarkStart w:id="965" w:name="_Toc6710"/>
      <w:bookmarkStart w:id="966" w:name="_Toc1199"/>
      <w:r>
        <w:rPr>
          <w:rFonts w:hint="eastAsia" w:asciiTheme="minorEastAsia" w:hAnsiTheme="minorEastAsia" w:eastAsiaTheme="minorEastAsia" w:cstheme="minorEastAsia"/>
          <w:b w:val="0"/>
          <w:bCs w:val="0"/>
          <w:sz w:val="24"/>
          <w:lang w:val="en-US" w:eastAsia="zh-CN"/>
        </w:rPr>
        <w:t>(3)测量放线作业过程中，要严格执行“三检制 ”：</w:t>
      </w:r>
      <w:bookmarkEnd w:id="963"/>
      <w:bookmarkEnd w:id="964"/>
      <w:bookmarkEnd w:id="965"/>
      <w:bookmarkEnd w:id="96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自检：作业人员在每次测量放线完成后立即进行自检， 自检中发现不合格项立即进行改正，直到全部合格，并填好自检记录。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复检：由施工负责人或质量检查员组织进行质量检查，发现不合格项立即改正至合格。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交接检：由施工负责人或质量检查员组织进行，上道工序合格后移交给下道工序，交接双方在交接记录上签字，并注明日期。</w:t>
      </w:r>
    </w:p>
    <w:p>
      <w:pPr>
        <w:rPr>
          <w:rFonts w:hint="eastAsia"/>
          <w:lang w:val="en-US" w:eastAsia="zh-CN"/>
        </w:rPr>
      </w:pPr>
    </w:p>
    <w:p>
      <w:pPr>
        <w:spacing w:before="304" w:line="222" w:lineRule="auto"/>
        <w:ind w:left="538" w:firstLine="556" w:firstLineChars="200"/>
        <w:rPr>
          <w:rFonts w:ascii="仿宋" w:hAnsi="仿宋" w:eastAsia="仿宋" w:cs="仿宋"/>
          <w:spacing w:val="-1"/>
          <w:sz w:val="28"/>
          <w:szCs w:val="28"/>
        </w:rPr>
      </w:pPr>
    </w:p>
    <w:p>
      <w:pPr>
        <w:pStyle w:val="11"/>
        <w:rPr>
          <w:rFonts w:ascii="仿宋" w:hAnsi="仿宋" w:eastAsia="仿宋" w:cs="仿宋"/>
          <w:spacing w:val="-1"/>
          <w:sz w:val="28"/>
          <w:szCs w:val="28"/>
        </w:rPr>
      </w:pPr>
    </w:p>
    <w:p>
      <w:pPr>
        <w:rPr>
          <w:rFonts w:ascii="仿宋" w:hAnsi="仿宋" w:eastAsia="仿宋" w:cs="仿宋"/>
          <w:spacing w:val="-1"/>
          <w:sz w:val="28"/>
          <w:szCs w:val="28"/>
        </w:rPr>
      </w:pPr>
    </w:p>
    <w:p>
      <w:pPr>
        <w:pStyle w:val="11"/>
        <w:rPr>
          <w:rFonts w:ascii="仿宋" w:hAnsi="仿宋" w:eastAsia="仿宋" w:cs="仿宋"/>
          <w:spacing w:val="-1"/>
          <w:sz w:val="28"/>
          <w:szCs w:val="28"/>
        </w:rPr>
      </w:pPr>
    </w:p>
    <w:p>
      <w:pPr>
        <w:rPr>
          <w:rFonts w:ascii="仿宋" w:hAnsi="仿宋" w:eastAsia="仿宋" w:cs="仿宋"/>
          <w:spacing w:val="-1"/>
          <w:sz w:val="28"/>
          <w:szCs w:val="28"/>
        </w:rPr>
      </w:pPr>
    </w:p>
    <w:p>
      <w:pPr>
        <w:pStyle w:val="11"/>
        <w:rPr>
          <w:rFonts w:ascii="仿宋" w:hAnsi="仿宋" w:eastAsia="仿宋" w:cs="仿宋"/>
          <w:spacing w:val="-1"/>
          <w:sz w:val="28"/>
          <w:szCs w:val="28"/>
        </w:rPr>
      </w:pPr>
    </w:p>
    <w:p>
      <w:pPr>
        <w:rPr>
          <w:rFonts w:ascii="仿宋" w:hAnsi="仿宋" w:eastAsia="仿宋" w:cs="仿宋"/>
          <w:spacing w:val="-1"/>
          <w:sz w:val="28"/>
          <w:szCs w:val="28"/>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2400" w:firstLineChars="1000"/>
        <w:jc w:val="left"/>
        <w:textAlignment w:val="auto"/>
        <w:rPr>
          <w:rFonts w:hint="eastAsia" w:ascii="仿宋" w:hAnsi="仿宋" w:eastAsia="仿宋" w:cs="仿宋"/>
          <w:b w:val="0"/>
          <w:bCs w:val="0"/>
          <w:sz w:val="24"/>
          <w:lang w:val="en-US" w:eastAsia="zh-CN"/>
        </w:rPr>
      </w:pPr>
      <w:r>
        <w:rPr>
          <w:rFonts w:hint="eastAsia" w:ascii="仿宋" w:hAnsi="仿宋" w:eastAsia="仿宋" w:cs="仿宋"/>
          <w:b w:val="0"/>
          <w:bCs w:val="0"/>
          <w:sz w:val="24"/>
          <w:lang w:val="en-US" w:eastAsia="zh-CN"/>
        </w:rPr>
        <w:t>测量质量控制流程图：</w:t>
      </w:r>
    </w:p>
    <w:p>
      <w:pPr>
        <w:pStyle w:val="11"/>
      </w:pPr>
    </w:p>
    <w:p>
      <w:pPr>
        <w:spacing w:before="304" w:line="222" w:lineRule="auto"/>
        <w:ind w:left="538" w:firstLine="420" w:firstLineChars="200"/>
        <w:rPr>
          <w:rFonts w:ascii="仿宋" w:hAnsi="仿宋" w:eastAsia="仿宋" w:cs="仿宋"/>
          <w:spacing w:val="-1"/>
          <w:sz w:val="28"/>
          <w:szCs w:val="28"/>
        </w:rPr>
      </w:pPr>
      <w:r>
        <w:rPr>
          <w:position w:val="-213"/>
        </w:rPr>
        <w:drawing>
          <wp:inline distT="0" distB="0" distL="0" distR="0">
            <wp:extent cx="4617720" cy="6776720"/>
            <wp:effectExtent l="0" t="0" r="11430" b="5080"/>
            <wp:docPr id="5" name="IM 3064"/>
            <wp:cNvGraphicFramePr/>
            <a:graphic xmlns:a="http://schemas.openxmlformats.org/drawingml/2006/main">
              <a:graphicData uri="http://schemas.openxmlformats.org/drawingml/2006/picture">
                <pic:pic xmlns:pic="http://schemas.openxmlformats.org/drawingml/2006/picture">
                  <pic:nvPicPr>
                    <pic:cNvPr id="5" name="IM 3064"/>
                    <pic:cNvPicPr/>
                  </pic:nvPicPr>
                  <pic:blipFill>
                    <a:blip r:embed="rId14"/>
                    <a:stretch>
                      <a:fillRect/>
                    </a:stretch>
                  </pic:blipFill>
                  <pic:spPr>
                    <a:xfrm>
                      <a:off x="0" y="0"/>
                      <a:ext cx="4617720" cy="6777227"/>
                    </a:xfrm>
                    <a:prstGeom prst="rect">
                      <a:avLst/>
                    </a:prstGeom>
                  </pic:spPr>
                </pic:pic>
              </a:graphicData>
            </a:graphic>
          </wp:inline>
        </w:drawing>
      </w:r>
    </w:p>
    <w:p>
      <w:pPr>
        <w:spacing w:before="304" w:line="222" w:lineRule="auto"/>
        <w:ind w:left="538" w:firstLine="556" w:firstLineChars="200"/>
        <w:rPr>
          <w:rFonts w:ascii="仿宋" w:hAnsi="仿宋" w:eastAsia="仿宋" w:cs="仿宋"/>
          <w:spacing w:val="-1"/>
          <w:sz w:val="28"/>
          <w:szCs w:val="28"/>
        </w:rPr>
      </w:pPr>
    </w:p>
    <w:p>
      <w:pPr>
        <w:spacing w:before="304" w:line="222" w:lineRule="auto"/>
        <w:ind w:left="538" w:firstLine="556" w:firstLineChars="200"/>
        <w:rPr>
          <w:rFonts w:ascii="仿宋" w:hAnsi="仿宋" w:eastAsia="仿宋" w:cs="仿宋"/>
          <w:spacing w:val="-1"/>
          <w:sz w:val="28"/>
          <w:szCs w:val="28"/>
        </w:rPr>
      </w:pPr>
    </w:p>
    <w:p>
      <w:pPr>
        <w:pStyle w:val="10"/>
        <w:bidi w:val="0"/>
        <w:ind w:firstLine="482" w:firstLineChars="200"/>
        <w:outlineLvl w:val="2"/>
        <w:rPr>
          <w:rFonts w:hint="eastAsia" w:ascii="宋体" w:hAnsi="宋体" w:eastAsia="宋体" w:cs="宋体"/>
          <w:lang w:val="en-US" w:eastAsia="zh-CN"/>
        </w:rPr>
      </w:pPr>
      <w:bookmarkStart w:id="967" w:name="_Toc25532"/>
      <w:bookmarkStart w:id="968" w:name="_Toc26640"/>
      <w:bookmarkStart w:id="969" w:name="_Toc386"/>
      <w:bookmarkStart w:id="970" w:name="_Toc17065"/>
      <w:r>
        <w:rPr>
          <w:rFonts w:hint="eastAsia" w:ascii="宋体" w:hAnsi="宋体" w:eastAsia="宋体" w:cs="宋体"/>
          <w:lang w:val="en-US" w:eastAsia="zh-CN"/>
        </w:rPr>
        <w:t>6.2.3.4 工程内业、档案质量保证措施</w:t>
      </w:r>
      <w:bookmarkEnd w:id="967"/>
      <w:bookmarkEnd w:id="968"/>
      <w:bookmarkEnd w:id="969"/>
      <w:bookmarkEnd w:id="97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1）工程内业质量控制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71" w:name="_Toc20383"/>
      <w:bookmarkStart w:id="972" w:name="_Toc10217"/>
      <w:bookmarkStart w:id="973" w:name="_Toc13032"/>
      <w:bookmarkStart w:id="974" w:name="_Toc27743"/>
      <w:r>
        <w:rPr>
          <w:rFonts w:hint="eastAsia" w:asciiTheme="minorEastAsia" w:hAnsiTheme="minorEastAsia" w:eastAsiaTheme="minorEastAsia" w:cstheme="minorEastAsia"/>
          <w:b w:val="0"/>
          <w:bCs w:val="0"/>
          <w:sz w:val="24"/>
          <w:lang w:val="en-US" w:eastAsia="zh-CN"/>
        </w:rPr>
        <w:t>（1）内业人员在工程管理部指导下建立相关技术台帐和卷内目录。</w:t>
      </w:r>
      <w:bookmarkEnd w:id="971"/>
      <w:bookmarkEnd w:id="972"/>
      <w:bookmarkEnd w:id="973"/>
      <w:bookmarkEnd w:id="97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（2）内业人员支持质检、试验、测量、调度、安全、合同、机电、物资专业工程师的工作，并提供相关的服务。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75" w:name="_Toc30353"/>
      <w:bookmarkStart w:id="976" w:name="_Toc7381"/>
      <w:bookmarkStart w:id="977" w:name="_Toc32375"/>
      <w:bookmarkStart w:id="978" w:name="_Toc7881"/>
      <w:r>
        <w:rPr>
          <w:rFonts w:hint="eastAsia" w:asciiTheme="minorEastAsia" w:hAnsiTheme="minorEastAsia" w:eastAsiaTheme="minorEastAsia" w:cstheme="minorEastAsia"/>
          <w:b w:val="0"/>
          <w:bCs w:val="0"/>
          <w:sz w:val="24"/>
          <w:lang w:val="en-US" w:eastAsia="zh-CN"/>
        </w:rPr>
        <w:t>（3）完成领导交办的其它相关任务，对所负责的工作负直接责任。</w:t>
      </w:r>
      <w:bookmarkEnd w:id="975"/>
      <w:bookmarkEnd w:id="976"/>
      <w:bookmarkEnd w:id="977"/>
      <w:bookmarkEnd w:id="97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（4）原始记录要真实，完整准确。要有记录人签字， 日期，必要时要有监理工程师的签署作为证明。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79" w:name="_Toc26805"/>
      <w:bookmarkStart w:id="980" w:name="_Toc7068"/>
      <w:bookmarkStart w:id="981" w:name="_Toc10614"/>
      <w:bookmarkStart w:id="982" w:name="_Toc15080"/>
      <w:r>
        <w:rPr>
          <w:rFonts w:hint="eastAsia" w:asciiTheme="minorEastAsia" w:hAnsiTheme="minorEastAsia" w:eastAsiaTheme="minorEastAsia" w:cstheme="minorEastAsia"/>
          <w:b w:val="0"/>
          <w:bCs w:val="0"/>
          <w:sz w:val="24"/>
          <w:lang w:val="en-US" w:eastAsia="zh-CN"/>
        </w:rPr>
        <w:t>（5）原始记录填写及时，分类别、分部门专人进行。</w:t>
      </w:r>
      <w:bookmarkEnd w:id="979"/>
      <w:bookmarkEnd w:id="980"/>
      <w:bookmarkEnd w:id="981"/>
      <w:bookmarkEnd w:id="98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（6）施工记录资料有图，有表，有说明，必要时还需要照片，摄像资料。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（7）各种原始资料由进口、出口工区各自收集，上报工程管理部汇总。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（8）施工日志：把施工过程中各种描述和各种情况记录及时、真 实完备。施工日志由技术员、施工员分别填写，工区技术主管组织汇总整理后上报。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（9）工程（隐蔽）影像：各工程工前、工后要留好影像资料，影像要标明具体部位，里程桩号，施工内容等基本资料。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（10）质检资料：各种质量检查资料（记录）及时填写，现场监理工程师签字完善后上交工程管理部，工程管理部统一交专监和监理组( 分站）完善签字手续。如出现监理工程师迟迟不签字或拒签的应及时向工程管理部反映，工程管理部按情况处理。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983" w:name="_Toc6103"/>
      <w:bookmarkStart w:id="984" w:name="_Toc1233"/>
      <w:bookmarkStart w:id="985" w:name="_Toc8835"/>
      <w:bookmarkStart w:id="986" w:name="_Toc17378"/>
      <w:r>
        <w:rPr>
          <w:rFonts w:hint="eastAsia" w:asciiTheme="minorEastAsia" w:hAnsiTheme="minorEastAsia" w:eastAsiaTheme="minorEastAsia" w:cstheme="minorEastAsia"/>
          <w:b w:val="0"/>
          <w:bCs w:val="0"/>
          <w:sz w:val="24"/>
          <w:lang w:val="en-US" w:eastAsia="zh-CN"/>
        </w:rPr>
        <w:t>2）工程档案质量控制</w:t>
      </w:r>
      <w:bookmarkEnd w:id="983"/>
      <w:bookmarkEnd w:id="984"/>
      <w:bookmarkEnd w:id="985"/>
      <w:bookmarkEnd w:id="98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（1）根据相关要求，项目经理部建立档案室，并设立专职档案工程师，负责项目经理部、项目部的日常档案管理。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（2）档案工程师负责对工程档案资料管理进行指导，并随时加强内业资料的检查，确保内业资料归档完整有序。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（3）施工图纸、技术标准、规范以及内业资料等由资料员负责，在档案工程师的要求和指导下进行统一的收集、整理、归档。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（4）现场技术员（质检工程师）负责技术交底、施工日志、现场记录、质检记录等资料的收集，交由档案工程师归档。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（5）工程管理部内业资料建立总台帐目录，并根据分部分项工程进行细化归档整理。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（6）测量资料、量测资料及试验资料均由测量组及试验室安排专 人负责保管，并接受档案工程师的统一检查、管理，同时建立细化后的台帐记录。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（7）相关单位及部门往来文件分类归档保存。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（8）变更设计文件由资料员专门负责管理。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（9）档案工程师必须及时对各文件及相关内业资料进行台帐登记及归档确保内业资料及时归档有序。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（10）在上级单位检查时内业档案工程师必须参加，检查后按照要求进行整理归档。</w:t>
      </w:r>
    </w:p>
    <w:p>
      <w:pPr>
        <w:pStyle w:val="10"/>
        <w:bidi w:val="0"/>
        <w:ind w:firstLine="482" w:firstLineChars="200"/>
        <w:rPr>
          <w:rFonts w:hint="eastAsia" w:ascii="宋体" w:hAnsi="宋体" w:eastAsia="宋体" w:cs="宋体"/>
          <w:lang w:val="en-US" w:eastAsia="zh-CN"/>
        </w:rPr>
      </w:pPr>
      <w:bookmarkStart w:id="987" w:name="_Toc9402"/>
      <w:r>
        <w:rPr>
          <w:rFonts w:hint="eastAsia" w:ascii="宋体" w:hAnsi="宋体" w:eastAsia="宋体" w:cs="宋体"/>
          <w:lang w:val="en-US" w:eastAsia="zh-CN"/>
        </w:rPr>
        <w:t>6.2.3.5成品保护质量保证措施</w:t>
      </w:r>
      <w:bookmarkEnd w:id="98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在施工过程中，有些分项、分部工程已经完成，其它工程尚在施工 , 或者某些部位已经施工完毕，其它部位正在施工，如果对于已完成的成品不采取妥善的措施加以保护，就会造成损伤，影响质量，为保护来之不易的施工成品，尽可能的消除和避免成品在施工过程中的污染、损害及破坏，以达到保证工程质量、保证工程进度、降低不必要的费用支出、提高验收一次通过率，在施工过程中必须加强对已完和正在施工的分部分项工程进行保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因此，搞好成品保护，是一项关系工程质量、进度、成本的重要工作。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988" w:name="_Toc1800"/>
      <w:bookmarkStart w:id="989" w:name="_Toc5003"/>
      <w:bookmarkStart w:id="990" w:name="_Toc20598"/>
      <w:bookmarkStart w:id="991" w:name="_Toc17073"/>
      <w:r>
        <w:rPr>
          <w:rFonts w:hint="eastAsia" w:asciiTheme="minorEastAsia" w:hAnsiTheme="minorEastAsia" w:eastAsiaTheme="minorEastAsia" w:cstheme="minorEastAsia"/>
          <w:b w:val="0"/>
          <w:bCs w:val="0"/>
          <w:sz w:val="24"/>
          <w:lang w:val="en-US" w:eastAsia="zh-CN"/>
        </w:rPr>
        <w:fldChar w:fldCharType="begin"/>
      </w:r>
      <w:r>
        <w:rPr>
          <w:rFonts w:hint="eastAsia" w:asciiTheme="minorEastAsia" w:hAnsiTheme="minorEastAsia" w:eastAsiaTheme="minorEastAsia" w:cstheme="minorEastAsia"/>
          <w:b w:val="0"/>
          <w:bCs w:val="0"/>
          <w:sz w:val="24"/>
          <w:lang w:val="en-US" w:eastAsia="zh-CN"/>
        </w:rPr>
        <w:instrText xml:space="preserve"> HYPERLINK "4.2.6.1" </w:instrText>
      </w:r>
      <w:r>
        <w:rPr>
          <w:rFonts w:hint="eastAsia" w:asciiTheme="minorEastAsia" w:hAnsiTheme="minorEastAsia" w:eastAsiaTheme="minorEastAsia" w:cstheme="minorEastAsia"/>
          <w:b w:val="0"/>
          <w:bCs w:val="0"/>
          <w:sz w:val="24"/>
          <w:lang w:val="en-US" w:eastAsia="zh-CN"/>
        </w:rPr>
        <w:fldChar w:fldCharType="separate"/>
      </w:r>
      <w:r>
        <w:rPr>
          <w:rFonts w:hint="eastAsia" w:asciiTheme="minorEastAsia" w:hAnsiTheme="minorEastAsia" w:eastAsiaTheme="minorEastAsia" w:cstheme="minorEastAsia"/>
          <w:b w:val="0"/>
          <w:bCs w:val="0"/>
          <w:sz w:val="24"/>
          <w:lang w:val="en-US" w:eastAsia="zh-CN"/>
        </w:rPr>
        <w:t>1</w:t>
      </w:r>
      <w:r>
        <w:rPr>
          <w:rFonts w:hint="eastAsia" w:asciiTheme="minorEastAsia" w:hAnsiTheme="minorEastAsia" w:eastAsiaTheme="minorEastAsia" w:cstheme="minorEastAsia"/>
          <w:b w:val="0"/>
          <w:bCs w:val="0"/>
          <w:sz w:val="24"/>
          <w:lang w:val="en-US" w:eastAsia="zh-CN"/>
        </w:rPr>
        <w:fldChar w:fldCharType="end"/>
      </w:r>
      <w:r>
        <w:rPr>
          <w:rFonts w:hint="eastAsia" w:asciiTheme="minorEastAsia" w:hAnsiTheme="minorEastAsia" w:eastAsiaTheme="minorEastAsia" w:cstheme="minorEastAsia"/>
          <w:b w:val="0"/>
          <w:bCs w:val="0"/>
          <w:sz w:val="24"/>
          <w:lang w:val="en-US" w:eastAsia="zh-CN"/>
        </w:rPr>
        <w:t>、成品保护组织机构</w:t>
      </w:r>
      <w:bookmarkEnd w:id="988"/>
      <w:bookmarkEnd w:id="989"/>
      <w:bookmarkEnd w:id="990"/>
      <w:bookmarkEnd w:id="99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项目部成立成品保护工作小组，由项目经理担任组长，技术负责人担任副组长。成品保护工作小组结合各施工阶段特点，确定成品保护工作的重点，并拟定对策与措施。组织成品保护交底会并检查落实情况。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具体措施如下：</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92" w:name="_Toc20052"/>
      <w:bookmarkStart w:id="993" w:name="_Toc28153"/>
      <w:bookmarkStart w:id="994" w:name="_Toc25400"/>
      <w:bookmarkStart w:id="995" w:name="_Toc21472"/>
      <w:r>
        <w:rPr>
          <w:rFonts w:hint="eastAsia" w:asciiTheme="minorEastAsia" w:hAnsiTheme="minorEastAsia" w:eastAsiaTheme="minorEastAsia" w:cstheme="minorEastAsia"/>
          <w:b w:val="0"/>
          <w:bCs w:val="0"/>
          <w:sz w:val="24"/>
          <w:lang w:val="en-US" w:eastAsia="zh-CN"/>
        </w:rPr>
        <w:t>1）成立专项成品保护管理机构</w:t>
      </w:r>
      <w:bookmarkEnd w:id="992"/>
      <w:bookmarkEnd w:id="993"/>
      <w:bookmarkEnd w:id="994"/>
      <w:bookmarkEnd w:id="9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本工程各施工工种之间的穿插作业多，如何进行成品保护必将对整 个工程的工程质量产生有其重要的影响。这就要求本们成立成品保护专 项管理机构，协调各单位一致动作、有纪律、有序的进行穿插作业，保 证用于施工的原材料、成品及半成品得到有效保护，确保整个工程的施工质量。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成品保护管理组织机构是确保成品保护得以顺利进行的关键。为确保成品保护工作的落实。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996" w:name="_Toc9993"/>
      <w:bookmarkStart w:id="997" w:name="_Toc6457"/>
      <w:bookmarkStart w:id="998" w:name="_Toc2319"/>
      <w:bookmarkStart w:id="999" w:name="_Toc7963"/>
      <w:r>
        <w:rPr>
          <w:rFonts w:hint="eastAsia" w:asciiTheme="minorEastAsia" w:hAnsiTheme="minorEastAsia" w:eastAsiaTheme="minorEastAsia" w:cstheme="minorEastAsia"/>
          <w:b w:val="0"/>
          <w:bCs w:val="0"/>
          <w:sz w:val="24"/>
          <w:lang w:val="en-US" w:eastAsia="zh-CN"/>
        </w:rPr>
        <w:t>2）成品保护机构的运行方式</w:t>
      </w:r>
      <w:bookmarkEnd w:id="996"/>
      <w:bookmarkEnd w:id="997"/>
      <w:bookmarkEnd w:id="998"/>
      <w:bookmarkEnd w:id="99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组织专职检查人员跟班作业，定期检查，并根据具体的成品保护措施的落实情况，制定对有关责任人的奖罚制度。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000" w:name="_Toc8551"/>
      <w:bookmarkStart w:id="1001" w:name="_Toc782"/>
      <w:bookmarkStart w:id="1002" w:name="_Toc6732"/>
      <w:bookmarkStart w:id="1003" w:name="_Toc9630"/>
      <w:r>
        <w:rPr>
          <w:rFonts w:hint="eastAsia" w:asciiTheme="minorEastAsia" w:hAnsiTheme="minorEastAsia" w:eastAsiaTheme="minorEastAsia" w:cstheme="minorEastAsia"/>
          <w:b w:val="0"/>
          <w:bCs w:val="0"/>
          <w:sz w:val="24"/>
          <w:lang w:val="en-US" w:eastAsia="zh-CN"/>
        </w:rPr>
        <w:fldChar w:fldCharType="begin"/>
      </w:r>
      <w:r>
        <w:rPr>
          <w:rFonts w:hint="eastAsia" w:asciiTheme="minorEastAsia" w:hAnsiTheme="minorEastAsia" w:eastAsiaTheme="minorEastAsia" w:cstheme="minorEastAsia"/>
          <w:b w:val="0"/>
          <w:bCs w:val="0"/>
          <w:sz w:val="24"/>
          <w:lang w:val="en-US" w:eastAsia="zh-CN"/>
        </w:rPr>
        <w:instrText xml:space="preserve"> HYPERLINK "4.2.6.2" </w:instrText>
      </w:r>
      <w:r>
        <w:rPr>
          <w:rFonts w:hint="eastAsia" w:asciiTheme="minorEastAsia" w:hAnsiTheme="minorEastAsia" w:eastAsiaTheme="minorEastAsia" w:cstheme="minorEastAsia"/>
          <w:b w:val="0"/>
          <w:bCs w:val="0"/>
          <w:sz w:val="24"/>
          <w:lang w:val="en-US" w:eastAsia="zh-CN"/>
        </w:rPr>
        <w:fldChar w:fldCharType="separate"/>
      </w:r>
      <w:r>
        <w:rPr>
          <w:rFonts w:hint="eastAsia" w:asciiTheme="minorEastAsia" w:hAnsiTheme="minorEastAsia" w:eastAsiaTheme="minorEastAsia" w:cstheme="minorEastAsia"/>
          <w:b w:val="0"/>
          <w:bCs w:val="0"/>
          <w:sz w:val="24"/>
          <w:lang w:val="en-US" w:eastAsia="zh-CN"/>
        </w:rPr>
        <w:t>2</w:t>
      </w:r>
      <w:r>
        <w:rPr>
          <w:rFonts w:hint="eastAsia" w:asciiTheme="minorEastAsia" w:hAnsiTheme="minorEastAsia" w:eastAsiaTheme="minorEastAsia" w:cstheme="minorEastAsia"/>
          <w:b w:val="0"/>
          <w:bCs w:val="0"/>
          <w:sz w:val="24"/>
          <w:lang w:val="en-US" w:eastAsia="zh-CN"/>
        </w:rPr>
        <w:fldChar w:fldCharType="end"/>
      </w:r>
      <w:r>
        <w:rPr>
          <w:rFonts w:hint="eastAsia" w:asciiTheme="minorEastAsia" w:hAnsiTheme="minorEastAsia" w:eastAsiaTheme="minorEastAsia" w:cstheme="minorEastAsia"/>
          <w:b w:val="0"/>
          <w:bCs w:val="0"/>
          <w:sz w:val="24"/>
          <w:lang w:val="en-US" w:eastAsia="zh-CN"/>
        </w:rPr>
        <w:t>、成品保护范围</w:t>
      </w:r>
      <w:bookmarkEnd w:id="1000"/>
      <w:bookmarkEnd w:id="1001"/>
      <w:bookmarkEnd w:id="1002"/>
      <w:bookmarkEnd w:id="100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成品保护必须贯穿于施工全过程，从原材料、半成品、直至成品各 个环节，比如工程施工过程中的工艺设施、钢筋、模板、混凝土、预留（埋）孔洞等，都必须进行切实有效地保护。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004" w:name="_Toc16399"/>
      <w:bookmarkStart w:id="1005" w:name="_Toc23840"/>
      <w:bookmarkStart w:id="1006" w:name="_Toc3636"/>
      <w:bookmarkStart w:id="1007" w:name="_Toc14156"/>
      <w:r>
        <w:rPr>
          <w:rFonts w:hint="eastAsia" w:asciiTheme="minorEastAsia" w:hAnsiTheme="minorEastAsia" w:eastAsiaTheme="minorEastAsia" w:cstheme="minorEastAsia"/>
          <w:b w:val="0"/>
          <w:bCs w:val="0"/>
          <w:sz w:val="24"/>
          <w:lang w:val="en-US" w:eastAsia="zh-CN"/>
        </w:rPr>
        <w:fldChar w:fldCharType="begin"/>
      </w:r>
      <w:r>
        <w:rPr>
          <w:rFonts w:hint="eastAsia" w:asciiTheme="minorEastAsia" w:hAnsiTheme="minorEastAsia" w:eastAsiaTheme="minorEastAsia" w:cstheme="minorEastAsia"/>
          <w:b w:val="0"/>
          <w:bCs w:val="0"/>
          <w:sz w:val="24"/>
          <w:lang w:val="en-US" w:eastAsia="zh-CN"/>
        </w:rPr>
        <w:instrText xml:space="preserve"> HYPERLINK "4.2.6.3" </w:instrText>
      </w:r>
      <w:r>
        <w:rPr>
          <w:rFonts w:hint="eastAsia" w:asciiTheme="minorEastAsia" w:hAnsiTheme="minorEastAsia" w:eastAsiaTheme="minorEastAsia" w:cstheme="minorEastAsia"/>
          <w:b w:val="0"/>
          <w:bCs w:val="0"/>
          <w:sz w:val="24"/>
          <w:lang w:val="en-US" w:eastAsia="zh-CN"/>
        </w:rPr>
        <w:fldChar w:fldCharType="separate"/>
      </w:r>
      <w:r>
        <w:rPr>
          <w:rFonts w:hint="eastAsia" w:asciiTheme="minorEastAsia" w:hAnsiTheme="minorEastAsia" w:eastAsiaTheme="minorEastAsia" w:cstheme="minorEastAsia"/>
          <w:b w:val="0"/>
          <w:bCs w:val="0"/>
          <w:sz w:val="24"/>
          <w:lang w:val="en-US" w:eastAsia="zh-CN"/>
        </w:rPr>
        <w:t>3</w:t>
      </w:r>
      <w:r>
        <w:rPr>
          <w:rFonts w:hint="eastAsia" w:asciiTheme="minorEastAsia" w:hAnsiTheme="minorEastAsia" w:eastAsiaTheme="minorEastAsia" w:cstheme="minorEastAsia"/>
          <w:b w:val="0"/>
          <w:bCs w:val="0"/>
          <w:sz w:val="24"/>
          <w:lang w:val="en-US" w:eastAsia="zh-CN"/>
        </w:rPr>
        <w:fldChar w:fldCharType="end"/>
      </w:r>
      <w:r>
        <w:rPr>
          <w:rFonts w:hint="eastAsia" w:asciiTheme="minorEastAsia" w:hAnsiTheme="minorEastAsia" w:eastAsiaTheme="minorEastAsia" w:cstheme="minorEastAsia"/>
          <w:b w:val="0"/>
          <w:bCs w:val="0"/>
          <w:sz w:val="24"/>
          <w:lang w:val="en-US" w:eastAsia="zh-CN"/>
        </w:rPr>
        <w:t>、成品保护制度</w:t>
      </w:r>
      <w:bookmarkEnd w:id="1004"/>
      <w:bookmarkEnd w:id="1005"/>
      <w:bookmarkEnd w:id="1006"/>
      <w:bookmarkEnd w:id="100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008" w:name="_Toc27644"/>
      <w:bookmarkStart w:id="1009" w:name="_Toc17810"/>
      <w:bookmarkStart w:id="1010" w:name="_Toc2699"/>
      <w:bookmarkStart w:id="1011" w:name="_Toc19308"/>
      <w:r>
        <w:rPr>
          <w:rFonts w:hint="eastAsia" w:asciiTheme="minorEastAsia" w:hAnsiTheme="minorEastAsia" w:eastAsiaTheme="minorEastAsia" w:cstheme="minorEastAsia"/>
          <w:b w:val="0"/>
          <w:bCs w:val="0"/>
          <w:sz w:val="24"/>
          <w:lang w:val="en-US" w:eastAsia="zh-CN"/>
        </w:rPr>
        <w:t>1）工序交接制度</w:t>
      </w:r>
      <w:bookmarkEnd w:id="1008"/>
      <w:bookmarkEnd w:id="1009"/>
      <w:bookmarkEnd w:id="1010"/>
      <w:bookmarkEnd w:id="101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项目部将建立完善的工序交接制度。在各工种交接时，交接双方对 上道工序的成品和设备进行检查并实行书面移交手续，下道工序的操作者必须认真保护，造成损坏和丢失要全面负责。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对购买的半成品、成品要在进场前做好“ 四检 ”制度，即检验规格 、品种、质量、成品保护性包裹，不合格品不许进场。做好现场和仓库物品的管理工作。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012" w:name="_Toc32103"/>
      <w:bookmarkStart w:id="1013" w:name="_Toc1519"/>
      <w:bookmarkStart w:id="1014" w:name="_Toc11107"/>
      <w:bookmarkStart w:id="1015" w:name="_Toc22816"/>
      <w:r>
        <w:rPr>
          <w:rFonts w:hint="eastAsia" w:asciiTheme="minorEastAsia" w:hAnsiTheme="minorEastAsia" w:eastAsiaTheme="minorEastAsia" w:cstheme="minorEastAsia"/>
          <w:b w:val="0"/>
          <w:bCs w:val="0"/>
          <w:sz w:val="24"/>
          <w:lang w:val="en-US" w:eastAsia="zh-CN"/>
        </w:rPr>
        <w:t>2）成品保护责任制</w:t>
      </w:r>
      <w:bookmarkEnd w:id="1012"/>
      <w:bookmarkEnd w:id="1013"/>
      <w:bookmarkEnd w:id="1014"/>
      <w:bookmarkEnd w:id="101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建立成品保护责任制，各项工程施工前均派专人负责各成品保护工作，责任到人。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016" w:name="_Toc5522"/>
      <w:bookmarkStart w:id="1017" w:name="_Toc27075"/>
      <w:bookmarkStart w:id="1018" w:name="_Toc3757"/>
      <w:bookmarkStart w:id="1019" w:name="_Toc22729"/>
      <w:r>
        <w:rPr>
          <w:rFonts w:hint="eastAsia" w:asciiTheme="minorEastAsia" w:hAnsiTheme="minorEastAsia" w:eastAsiaTheme="minorEastAsia" w:cstheme="minorEastAsia"/>
          <w:b w:val="0"/>
          <w:bCs w:val="0"/>
          <w:sz w:val="24"/>
          <w:lang w:val="en-US" w:eastAsia="zh-CN"/>
        </w:rPr>
        <w:t>3）成品保护教育及警示制度</w:t>
      </w:r>
      <w:bookmarkEnd w:id="1016"/>
      <w:bookmarkEnd w:id="1017"/>
      <w:bookmarkEnd w:id="1018"/>
      <w:bookmarkEnd w:id="101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加强新进场工人的成品保护教育及成品保护人员岗前教育，树立工 人的配合及保护意识，建立各种成品保护临时交接制，做到层层工序有人负责。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在需要保护的成品周围设置提示、警示标语，或在成品或设备上贴挂成品保护醒目的警示标志，引起来往人员的注意。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020" w:name="_Toc2689"/>
      <w:bookmarkStart w:id="1021" w:name="_Toc3143"/>
      <w:bookmarkStart w:id="1022" w:name="_Toc9861"/>
      <w:bookmarkStart w:id="1023" w:name="_Toc19391"/>
      <w:r>
        <w:rPr>
          <w:rFonts w:hint="eastAsia" w:asciiTheme="minorEastAsia" w:hAnsiTheme="minorEastAsia" w:eastAsiaTheme="minorEastAsia" w:cstheme="minorEastAsia"/>
          <w:b w:val="0"/>
          <w:bCs w:val="0"/>
          <w:sz w:val="24"/>
          <w:lang w:val="en-US" w:eastAsia="zh-CN"/>
        </w:rPr>
        <w:t>4）成品保护交底制</w:t>
      </w:r>
      <w:bookmarkEnd w:id="1020"/>
      <w:bookmarkEnd w:id="1021"/>
      <w:bookmarkEnd w:id="1022"/>
      <w:bookmarkEnd w:id="10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各作业队加强班前操作技术交底，成品保护交底。成品保护落实专 人，做到人人皆知。增强成品保护的意识，发现有破坏产品的人应及时汇报并通报追究责任。</w:t>
      </w:r>
    </w:p>
    <w:p>
      <w:pPr>
        <w:pStyle w:val="10"/>
        <w:bidi w:val="0"/>
        <w:ind w:firstLine="482" w:firstLineChars="200"/>
        <w:outlineLvl w:val="2"/>
        <w:rPr>
          <w:rFonts w:hint="eastAsia" w:ascii="宋体" w:hAnsi="宋体" w:eastAsia="宋体" w:cs="宋体"/>
          <w:lang w:val="en-US" w:eastAsia="zh-CN"/>
        </w:rPr>
      </w:pPr>
      <w:bookmarkStart w:id="1024" w:name="_Toc20799"/>
      <w:bookmarkStart w:id="1025" w:name="_Toc4235"/>
      <w:bookmarkStart w:id="1026" w:name="_Toc30343"/>
      <w:bookmarkStart w:id="1027" w:name="_Toc1071"/>
      <w:r>
        <w:rPr>
          <w:rFonts w:hint="eastAsia" w:ascii="宋体" w:hAnsi="宋体" w:eastAsia="宋体" w:cs="宋体"/>
          <w:lang w:val="en-US" w:eastAsia="zh-CN"/>
        </w:rPr>
        <w:t>6.2.3.6 隐蔽工程质量保证措施</w:t>
      </w:r>
      <w:bookmarkEnd w:id="1024"/>
      <w:bookmarkEnd w:id="1025"/>
      <w:bookmarkEnd w:id="1026"/>
      <w:bookmarkEnd w:id="102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根据设计及规范要求进行，建立健全工程质量检查和验收制度。把责任落实到人，是保证隐蔽工程质量的关键。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（1）明确隐蔽工程检查项目，实行岗位责任制度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①为保证上述主要隐蔽工程质量，实行定岗制度，采取如下措施： 项目部应结合工程实际，建立健全质量责任制机制，配齐所需资源，落实各部位质量责任人。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②加强作业人员“质量第一、顾客至上、下道工序是顾客 ”的质量意识教育，组织技能培训，严格遵守操作规程，开展 QC 小组活动，促进和提高操作手按章作业按图施工能力，消除和预防作业人员因素造成工序质量缺陷。</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③加强设备维护和保养工作，配置先进适用和合理配套的设备，消除和预防因机械设备因素造成的工序质量缺陷。</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④加强采购各环节控制工作，定点、定量采购，严格过程检验和试验，消除和预防材料因素造成的工序质量缺陷。</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⑤严格持证上岗，严肃工艺纪律，消除和预防因施工方法因素造成的工序质量缺陷。确保工序作业的环境条件，搞好文明施工，消除和预防环境因素造成工序质量缺陷。</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⑦督促计量设备的周期鉴定，督促增加检、测、试的频次，积极引导采用先进计量设备和快速准确的测试技术，消除和预防检验、测量和试验因素造成的工序质量缺陷。</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⑧各级技术人员应了解设计意图并详细审查图纸、核对现场，掌握相关的标准、规范，明确质量要求，并作好技术交底。各隐蔽项目隐蔽部位操作人员在现场负责人主持下，对照技术交底文件，充分做好隐蔽的各项准备工作，经自检合格后，提前通知监理工程师，同时给监理工程师提供图纸、测量工具和其他一切条件，办理验槽、验坑，检查隐蔽部位并随检随签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 把好隐蔽工程检查验收关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①做好隐蔽验收记录，对于隐蔽检查中提出的问题进行认真处理， 经复验符合要求后，方可办理签证手续，进行下道工序。隐蔽工程施工完毕后，由工班长在隐蔽验收记录中填写工程的基本情况，由施工队技术负责人签字，项目经理部质检工程师检查合格后请监理工程师进行检查验收。参加检查人员按隐蔽检查单的内容进行检查验收后，提出检查意见。若检查中存在问题需要进行整改时，施工班长在整改后，再次请有关各方进行复查，达到要求后，再办理签证手续。</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②隐蔽工程验收合格后，技术负责人再安排进行下一道工序施工。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③施工队技术负责人在隐蔽工程验收后，及时将验收记录送项目部内业技术人员审核无误后归档。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④把好隐蔽工程检查签证关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A坚持隐蔽工程检查签证制度，先由施工质量检查员检查合格后，报请监理工程师复检签证，不经签证的工程不得进行隐蔽和下道工序作业。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B实行工班自检、工序互检、质检人员专检、监理检查签证的四级检查制度，不合格工程，坚决返工重做，并对交接人员进行追查，按照奖优罚劣制度，做到奖罚分明。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C工程在隐蔽之前应核对设计图纸与地质情况是否相符，尺寸、标高是否符合要求，由项目部质检工程师组织自检合格后，报现场监理工程师检查签认后，报监理工程师进行验收签认。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填写检查证备齐有关附件，经监理工程师检查合格并签证后，方可隐蔽进行下道工序施工。在进行下一步施工前，对该隐蔽工程进行实地拍照或录象，并作为资料存档。如检查不合格或检查与实际不符，不予签证。待整改完成后，重新检查签证，直到符合规范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E对需进行隐蔽的工程，未经检查验收签认， 自行隐蔽者，应返工补验，并追究该项工程负责人责任。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（3）隐蔽工程质量保证措施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隐蔽工程质量在于加强施工过程的控制，健全和严格执行各项质量检验制度。使整个工程质量处于受控状态。制定质量岗位责任制、定岗定责，按施工部位专人负责加强现场管理。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①对隐蔽工程的质量，以班组自检与专职质检员相结合， 自检发现不合格的及时纠正，避免带入下一工序造成较大的损失。</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②自检合格后由分管该工序质量的专职质量人员进行检查，不合格的坚决返工，上道工序不合格不准进入下一工序施工。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③每道工序自检合格后，报请监理工程师验收，并做好隐蔽工程的验收记录，经监理工程师认可签证后才能进行下一工序施工。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④隐蔽工程做好记录签字，从班组自检、专职人员、监理要层层签 字，并按规定表格认真填写清楚时间、部位、检查内容等，做到每个部位都有据可查。</w:t>
      </w:r>
    </w:p>
    <w:p>
      <w:r>
        <w:rPr>
          <w:position w:val="-210"/>
        </w:rPr>
        <w:drawing>
          <wp:inline distT="0" distB="0" distL="0" distR="0">
            <wp:extent cx="4314190" cy="6696075"/>
            <wp:effectExtent l="0" t="0" r="10160" b="9525"/>
            <wp:docPr id="4" name="IM 3158"/>
            <wp:cNvGraphicFramePr/>
            <a:graphic xmlns:a="http://schemas.openxmlformats.org/drawingml/2006/main">
              <a:graphicData uri="http://schemas.openxmlformats.org/drawingml/2006/picture">
                <pic:pic xmlns:pic="http://schemas.openxmlformats.org/drawingml/2006/picture">
                  <pic:nvPicPr>
                    <pic:cNvPr id="4" name="IM 3158"/>
                    <pic:cNvPicPr/>
                  </pic:nvPicPr>
                  <pic:blipFill>
                    <a:blip r:embed="rId15"/>
                    <a:stretch>
                      <a:fillRect/>
                    </a:stretch>
                  </pic:blipFill>
                  <pic:spPr>
                    <a:xfrm>
                      <a:off x="0" y="0"/>
                      <a:ext cx="4314444" cy="6696456"/>
                    </a:xfrm>
                    <a:prstGeom prst="rect">
                      <a:avLst/>
                    </a:prstGeom>
                  </pic:spPr>
                </pic:pic>
              </a:graphicData>
            </a:graphic>
          </wp:inline>
        </w:drawing>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9"/>
        <w:bidi w:val="0"/>
        <w:ind w:firstLine="482" w:firstLineChars="200"/>
        <w:rPr>
          <w:rFonts w:hint="eastAsia" w:ascii="宋体" w:hAnsi="宋体" w:eastAsia="宋体" w:cs="宋体"/>
          <w:sz w:val="24"/>
          <w:szCs w:val="24"/>
          <w:lang w:val="en-US" w:eastAsia="zh-CN"/>
        </w:rPr>
      </w:pPr>
      <w:bookmarkStart w:id="1028" w:name="_Toc18388"/>
      <w:r>
        <w:rPr>
          <w:rFonts w:hint="eastAsia" w:ascii="宋体" w:hAnsi="宋体" w:eastAsia="宋体" w:cs="宋体"/>
          <w:sz w:val="24"/>
          <w:szCs w:val="24"/>
          <w:lang w:val="en-US" w:eastAsia="zh-CN"/>
        </w:rPr>
        <w:t>6.3安全生产管理体系及保证措施</w:t>
      </w:r>
      <w:bookmarkEnd w:id="1028"/>
    </w:p>
    <w:p>
      <w:pPr>
        <w:pStyle w:val="10"/>
        <w:bidi w:val="0"/>
        <w:ind w:firstLine="482" w:firstLineChars="200"/>
        <w:rPr>
          <w:rFonts w:hint="eastAsia"/>
          <w:lang w:val="en-US" w:eastAsia="zh-CN"/>
        </w:rPr>
      </w:pPr>
      <w:bookmarkStart w:id="1029" w:name="_Toc10676"/>
      <w:bookmarkStart w:id="1030" w:name="_Toc4936"/>
      <w:bookmarkStart w:id="1031" w:name="_Toc23695"/>
      <w:r>
        <w:rPr>
          <w:rStyle w:val="35"/>
          <w:rFonts w:hint="eastAsia" w:ascii="宋体" w:hAnsi="宋体" w:eastAsia="宋体" w:cs="宋体"/>
          <w:b/>
          <w:sz w:val="24"/>
          <w:szCs w:val="24"/>
          <w:lang w:val="en-US" w:eastAsia="zh-CN"/>
        </w:rPr>
        <w:t>6.3.1安全生产方针</w:t>
      </w:r>
      <w:bookmarkEnd w:id="1029"/>
      <w:bookmarkEnd w:id="1030"/>
      <w:bookmarkEnd w:id="103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遵循公司“安全第一、预防为主、综合治理、以人为本、全员参与、持续改进”的安全生产方针。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建立安全生产组织体系、全员安全生产责任体系、 安全规章制度体系，制定具有针对性的保障措施，投入人、财、物等各种必要的资源，做到生产与安全工作同时计划、同时布置、同时检查、同时总结、同时评比，以安全生产标准化和双重预防机制建设为手段，对生产经营活动进行全员、全过程、全方位的有效控制，并不断总结分析，持续改进，将风险控制在最小范围内，尽最大可能避免生产安全事故发生，确保项目安全目标的实现。</w:t>
      </w:r>
    </w:p>
    <w:p>
      <w:pPr>
        <w:pStyle w:val="9"/>
        <w:bidi w:val="0"/>
        <w:ind w:firstLine="482" w:firstLineChars="200"/>
        <w:rPr>
          <w:rFonts w:hint="eastAsia"/>
          <w:lang w:val="en-US" w:eastAsia="zh-CN"/>
        </w:rPr>
      </w:pPr>
      <w:bookmarkStart w:id="1032" w:name="_Toc13429"/>
      <w:r>
        <w:rPr>
          <w:rFonts w:hint="eastAsia" w:ascii="宋体" w:hAnsi="宋体" w:eastAsia="宋体" w:cs="宋体"/>
          <w:sz w:val="24"/>
          <w:szCs w:val="24"/>
          <w:lang w:val="en-US" w:eastAsia="zh-CN"/>
        </w:rPr>
        <w:t>6.3.2安全目标</w:t>
      </w:r>
      <w:bookmarkEnd w:id="103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安全目标：不发生较大及以上安全生产责任事故。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安全具体控制目标：不因未履行安全职责或履职不到位，造成人员死亡、重伤等生产安全事故、火灾事故、责任交通事故、新增职业病人员、发生重大事故隐患，做到本项目零事故发生。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安全工作目标：安全生产目标责任书签订率100%；相关方安全生产协议签订率100%；风险告知率100%；安全管理人员到位率100%；隐患排查治理完成率100%；教育培训覆盖率100%；特种作业人员、特种设备操作人员持证上岗率100%；应急演练按计划开展率100%。</w:t>
      </w:r>
    </w:p>
    <w:p>
      <w:pPr>
        <w:pStyle w:val="9"/>
        <w:bidi w:val="0"/>
        <w:ind w:firstLine="482" w:firstLineChars="200"/>
        <w:rPr>
          <w:rFonts w:hint="eastAsia"/>
          <w:lang w:val="en-US" w:eastAsia="zh-CN"/>
        </w:rPr>
      </w:pPr>
      <w:bookmarkStart w:id="1033" w:name="_Toc27655"/>
      <w:bookmarkStart w:id="1034" w:name="_Toc12864"/>
      <w:bookmarkStart w:id="1035" w:name="_Toc14636"/>
      <w:bookmarkStart w:id="1036" w:name="_Toc11590"/>
      <w:r>
        <w:rPr>
          <w:rFonts w:hint="eastAsia" w:ascii="宋体" w:hAnsi="宋体" w:eastAsia="宋体" w:cs="宋体"/>
          <w:sz w:val="24"/>
          <w:szCs w:val="24"/>
          <w:lang w:val="en-US" w:eastAsia="zh-CN"/>
        </w:rPr>
        <w:t>6.3.3安全生产领导小组及职责</w:t>
      </w:r>
      <w:bookmarkEnd w:id="1033"/>
      <w:bookmarkEnd w:id="1034"/>
      <w:bookmarkEnd w:id="1035"/>
      <w:bookmarkEnd w:id="103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为进一步加强高速公路病害治理工程的安全管理工作，及时有效地预防突发事件的发生，规范安全生产事故应急管理和应急响应程序，明确职责，建立健全应急救援机制，及时、科学、有效地指挥、协调应急救援工作，保证人员和财产不受到任何伤亡损失，结合本项目的实际成立安全生产领导小组，强化现场安全管理，落实一岗双责，营造全员参与的安全生产氛围，为施工安全生产保驾护航。</w:t>
      </w:r>
    </w:p>
    <w:p>
      <w:pPr>
        <w:pStyle w:val="10"/>
        <w:bidi w:val="0"/>
        <w:ind w:firstLine="482" w:firstLineChars="200"/>
        <w:outlineLvl w:val="2"/>
        <w:rPr>
          <w:rFonts w:hint="eastAsia" w:ascii="宋体" w:hAnsi="宋体" w:eastAsia="宋体" w:cs="宋体"/>
          <w:lang w:val="en-US" w:eastAsia="zh-CN"/>
        </w:rPr>
      </w:pPr>
      <w:bookmarkStart w:id="1037" w:name="_Toc4378"/>
      <w:bookmarkStart w:id="1038" w:name="_Toc14267"/>
      <w:bookmarkStart w:id="1039" w:name="_Toc6597"/>
      <w:bookmarkStart w:id="1040" w:name="_Toc1830"/>
      <w:bookmarkStart w:id="1041" w:name="_Toc31042"/>
      <w:bookmarkStart w:id="1042" w:name="_Toc29217"/>
      <w:r>
        <w:rPr>
          <w:rFonts w:hint="eastAsia" w:ascii="宋体" w:hAnsi="宋体" w:eastAsia="宋体" w:cs="宋体"/>
          <w:lang w:val="en-US" w:eastAsia="zh-CN"/>
        </w:rPr>
        <w:t>6.3.3.1安全生产领导小组</w:t>
      </w:r>
      <w:bookmarkEnd w:id="1037"/>
      <w:bookmarkEnd w:id="1038"/>
      <w:bookmarkEnd w:id="1039"/>
      <w:bookmarkEnd w:id="1040"/>
      <w:bookmarkEnd w:id="1041"/>
      <w:bookmarkEnd w:id="104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组  长：冯印斌  项目执行负责人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 xml:space="preserve">副组长：刘天双  项目技术负责人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1440" w:firstLineChars="6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黄  强  项目副经理兼安全总监</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1440" w:firstLineChars="6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杨  爽  副经理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1440" w:firstLineChars="6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 xml:space="preserve">贾  涛  副经理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 xml:space="preserve">成  员：石景波 叶竹 白杨 吴海 马金生 冯国柱 郑洪泽 孙亮亮 张玉轩 协力队伍负责人 </w:t>
      </w:r>
    </w:p>
    <w:p>
      <w:pPr>
        <w:pStyle w:val="10"/>
        <w:bidi w:val="0"/>
        <w:ind w:firstLine="482" w:firstLineChars="200"/>
        <w:outlineLvl w:val="2"/>
        <w:rPr>
          <w:rFonts w:hint="eastAsia" w:ascii="宋体" w:hAnsi="宋体" w:eastAsia="宋体" w:cs="宋体"/>
          <w:lang w:val="en-US" w:eastAsia="zh-CN"/>
        </w:rPr>
      </w:pPr>
      <w:bookmarkStart w:id="1043" w:name="_Toc26532"/>
      <w:bookmarkStart w:id="1044" w:name="_Toc27460"/>
      <w:bookmarkStart w:id="1045" w:name="_Toc28582"/>
      <w:bookmarkStart w:id="1046" w:name="_Toc26034"/>
      <w:bookmarkStart w:id="1047" w:name="_Toc21922"/>
      <w:bookmarkStart w:id="1048" w:name="_Toc14151"/>
      <w:r>
        <w:rPr>
          <w:rFonts w:hint="eastAsia" w:ascii="宋体" w:hAnsi="宋体" w:eastAsia="宋体" w:cs="宋体"/>
          <w:lang w:val="en-US" w:eastAsia="zh-CN"/>
        </w:rPr>
        <w:t>6.3.3.2</w:t>
      </w:r>
      <w:bookmarkEnd w:id="1043"/>
      <w:bookmarkEnd w:id="1044"/>
      <w:bookmarkStart w:id="1049" w:name="_Toc23405"/>
      <w:bookmarkStart w:id="1050" w:name="_Toc23118"/>
      <w:bookmarkStart w:id="1051" w:name="_Toc16015"/>
      <w:bookmarkStart w:id="1052" w:name="_Toc14550"/>
      <w:bookmarkStart w:id="1053" w:name="_Toc6868"/>
      <w:r>
        <w:rPr>
          <w:rFonts w:hint="eastAsia" w:ascii="宋体" w:hAnsi="宋体" w:eastAsia="宋体" w:cs="宋体"/>
          <w:lang w:val="en-US" w:eastAsia="zh-CN"/>
        </w:rPr>
        <w:t>安全生产领导小组主要职责</w:t>
      </w:r>
      <w:bookmarkEnd w:id="1045"/>
      <w:bookmarkEnd w:id="1046"/>
      <w:bookmarkEnd w:id="1047"/>
      <w:bookmarkEnd w:id="1048"/>
      <w:bookmarkEnd w:id="1049"/>
      <w:bookmarkEnd w:id="1050"/>
      <w:bookmarkEnd w:id="1051"/>
      <w:bookmarkEnd w:id="1052"/>
      <w:bookmarkEnd w:id="105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（一）贯彻落实安全生产等方面的方针政策、法律法规以及上级的规章制度、工作部署。</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（二）负责项目安全生产制度的建立健全及贯彻落实。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（三）监督检查项目所属各职能部门安全职责履行情况。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（四）负责项目安全生产工作的协调、监督、评价、考核、奖惩工作。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（五）负责实施安全生产目标责任制，与所属各部门、各相关单位签订《安全生产目标管理责任书》，明确安全管理的目标与责任。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（六）负责项目重大安全隐患的督促整改和职权范围内安全生产事故的调查处理工作。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（七）可在职权范围内，向所属各部门、各相关单位发布指示性、指令性、指导性、知照性公文。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（八）负责项目部安全生产的教育培训工作。</w:t>
      </w:r>
    </w:p>
    <w:p>
      <w:pPr>
        <w:pStyle w:val="9"/>
        <w:bidi w:val="0"/>
        <w:ind w:firstLine="482" w:firstLineChars="200"/>
        <w:rPr>
          <w:rFonts w:hint="eastAsia"/>
          <w:lang w:val="en-US" w:eastAsia="zh-CN"/>
        </w:rPr>
      </w:pPr>
      <w:bookmarkStart w:id="1054" w:name="_Toc6771"/>
      <w:bookmarkStart w:id="1055" w:name="_Toc23102"/>
      <w:bookmarkStart w:id="1056" w:name="_Toc16021"/>
      <w:bookmarkStart w:id="1057" w:name="_Toc14186"/>
      <w:r>
        <w:rPr>
          <w:rFonts w:hint="eastAsia" w:ascii="宋体" w:hAnsi="宋体" w:eastAsia="宋体" w:cs="宋体"/>
          <w:sz w:val="24"/>
          <w:szCs w:val="24"/>
          <w:lang w:val="en-US" w:eastAsia="zh-CN"/>
        </w:rPr>
        <w:t>6.3.4安全生产保证体系</w:t>
      </w:r>
      <w:bookmarkEnd w:id="1054"/>
      <w:bookmarkEnd w:id="1055"/>
      <w:bookmarkEnd w:id="1056"/>
      <w:bookmarkEnd w:id="105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建立健全安全生产保证体系，落实安全生产责任制，加大安全投入，确保全过程、全员、全方位安全生产的落实。</w:t>
      </w:r>
    </w:p>
    <w:p>
      <w:pPr>
        <w:jc w:val="center"/>
        <w:rPr>
          <w:rFonts w:hint="eastAsia" w:ascii="仿宋" w:hAnsi="仿宋" w:eastAsia="仿宋" w:cs="仿宋"/>
          <w:b/>
          <w:bCs/>
          <w:sz w:val="24"/>
          <w:szCs w:val="24"/>
          <w:lang w:val="en-US" w:eastAsia="zh-CN"/>
        </w:rPr>
      </w:pPr>
    </w:p>
    <w:p>
      <w:pPr>
        <w:jc w:val="center"/>
        <w:rPr>
          <w:rFonts w:hint="eastAsia" w:ascii="仿宋" w:hAnsi="仿宋" w:eastAsia="仿宋" w:cs="仿宋"/>
          <w:b/>
          <w:bCs/>
          <w:sz w:val="24"/>
          <w:szCs w:val="24"/>
          <w:lang w:val="en-US" w:eastAsia="zh-CN"/>
        </w:rPr>
      </w:pPr>
    </w:p>
    <w:p>
      <w:pPr>
        <w:jc w:val="center"/>
        <w:rPr>
          <w:rFonts w:hint="eastAsia" w:ascii="仿宋" w:hAnsi="仿宋" w:eastAsia="仿宋" w:cs="仿宋"/>
          <w:b/>
          <w:bCs/>
          <w:sz w:val="24"/>
          <w:szCs w:val="24"/>
          <w:lang w:val="en-US" w:eastAsia="zh-CN"/>
        </w:rPr>
      </w:pPr>
    </w:p>
    <w:p>
      <w:pPr>
        <w:jc w:val="center"/>
        <w:rPr>
          <w:rFonts w:hint="eastAsia" w:ascii="仿宋" w:hAnsi="仿宋" w:eastAsia="仿宋" w:cs="仿宋"/>
          <w:b/>
          <w:bCs/>
          <w:sz w:val="24"/>
          <w:szCs w:val="24"/>
          <w:lang w:val="en-US" w:eastAsia="zh-CN"/>
        </w:rPr>
      </w:pPr>
    </w:p>
    <w:p>
      <w:pPr>
        <w:jc w:val="center"/>
        <w:rPr>
          <w:rFonts w:hint="eastAsia" w:ascii="仿宋" w:hAnsi="仿宋" w:eastAsia="仿宋" w:cs="仿宋"/>
          <w:b/>
          <w:bCs/>
          <w:sz w:val="24"/>
          <w:szCs w:val="24"/>
          <w:lang w:val="en-US" w:eastAsia="zh-CN"/>
        </w:rPr>
      </w:pPr>
    </w:p>
    <w:p>
      <w:pPr>
        <w:jc w:val="center"/>
        <w:rPr>
          <w:rFonts w:hint="eastAsia" w:ascii="仿宋" w:hAnsi="仿宋" w:eastAsia="仿宋" w:cs="仿宋"/>
          <w:b/>
          <w:bCs/>
          <w:sz w:val="24"/>
          <w:szCs w:val="24"/>
          <w:lang w:val="en-US" w:eastAsia="zh-CN"/>
        </w:rPr>
      </w:pPr>
    </w:p>
    <w:p>
      <w:pPr>
        <w:jc w:val="center"/>
        <w:rPr>
          <w:rFonts w:hint="eastAsia" w:ascii="仿宋" w:hAnsi="仿宋" w:eastAsia="仿宋" w:cs="仿宋"/>
          <w:b/>
          <w:bCs/>
          <w:sz w:val="24"/>
          <w:szCs w:val="24"/>
          <w:lang w:val="en-US" w:eastAsia="zh-CN"/>
        </w:rPr>
      </w:pPr>
    </w:p>
    <w:p>
      <w:pPr>
        <w:jc w:val="center"/>
        <w:rPr>
          <w:rFonts w:hint="eastAsia" w:ascii="仿宋" w:hAnsi="仿宋" w:eastAsia="仿宋" w:cs="仿宋"/>
          <w:b/>
          <w:bCs/>
          <w:sz w:val="24"/>
          <w:szCs w:val="24"/>
          <w:lang w:val="en-US" w:eastAsia="zh-CN"/>
        </w:rPr>
      </w:pPr>
    </w:p>
    <w:p>
      <w:pPr>
        <w:jc w:val="center"/>
        <w:rPr>
          <w:rFonts w:hint="eastAsia" w:ascii="仿宋" w:hAnsi="仿宋" w:eastAsia="仿宋" w:cs="仿宋"/>
          <w:b/>
          <w:bCs/>
          <w:sz w:val="24"/>
          <w:szCs w:val="24"/>
          <w:lang w:val="en-US" w:eastAsia="zh-CN"/>
        </w:rPr>
      </w:pPr>
    </w:p>
    <w:p>
      <w:pPr>
        <w:jc w:val="center"/>
        <w:rPr>
          <w:rFonts w:hint="eastAsia" w:ascii="仿宋" w:hAnsi="仿宋" w:eastAsia="仿宋" w:cs="仿宋"/>
          <w:b/>
          <w:bCs/>
          <w:sz w:val="24"/>
          <w:szCs w:val="24"/>
          <w:lang w:val="en-US" w:eastAsia="zh-CN"/>
        </w:rPr>
      </w:pPr>
    </w:p>
    <w:p>
      <w:pPr>
        <w:jc w:val="center"/>
        <w:rPr>
          <w:rFonts w:hint="eastAsia" w:ascii="仿宋" w:hAnsi="仿宋" w:eastAsia="仿宋" w:cs="仿宋"/>
          <w:b/>
          <w:bCs/>
          <w:sz w:val="24"/>
          <w:szCs w:val="24"/>
          <w:lang w:val="en-US" w:eastAsia="zh-CN"/>
        </w:rPr>
      </w:pPr>
    </w:p>
    <w:p>
      <w:pPr>
        <w:jc w:val="both"/>
        <w:rPr>
          <w:rFonts w:hint="eastAsia" w:ascii="仿宋" w:hAnsi="仿宋" w:eastAsia="仿宋" w:cs="仿宋"/>
          <w:b/>
          <w:bCs/>
          <w:sz w:val="24"/>
          <w:szCs w:val="24"/>
          <w:lang w:val="en-US" w:eastAsia="zh-CN"/>
        </w:rPr>
      </w:pPr>
    </w:p>
    <w:p>
      <w:pPr>
        <w:jc w:val="center"/>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安全保证体系图</w:t>
      </w:r>
    </w:p>
    <w:p>
      <w:pPr>
        <w:pStyle w:val="11"/>
        <w:ind w:left="0" w:leftChars="0" w:firstLine="0" w:firstLineChars="0"/>
        <w:rPr>
          <w:rFonts w:ascii="仿宋" w:hAnsi="仿宋" w:eastAsia="仿宋" w:cs="宋体"/>
          <w:sz w:val="18"/>
          <w:szCs w:val="18"/>
        </w:rPr>
      </w:pPr>
      <w:r>
        <w:rPr>
          <w:rFonts w:ascii="仿宋" w:hAnsi="仿宋" w:eastAsia="仿宋" w:cs="宋体"/>
          <w:sz w:val="18"/>
          <w:szCs w:val="18"/>
        </w:rPr>
        <w:drawing>
          <wp:inline distT="0" distB="0" distL="0" distR="0">
            <wp:extent cx="5707380" cy="3136265"/>
            <wp:effectExtent l="0" t="0" r="7620" b="6985"/>
            <wp:docPr id="19" name="图片 19" descr="C:\Users\Administrator\AppData\Local\Temp\WeChat Files\f7c011f4264433a76de45c48c1dc9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Administrator\AppData\Local\Temp\WeChat Files\f7c011f4264433a76de45c48c1dc9dd.png"/>
                    <pic:cNvPicPr>
                      <a:picLocks noChangeAspect="1" noChangeArrowheads="1"/>
                    </pic:cNvPicPr>
                  </pic:nvPicPr>
                  <pic:blipFill>
                    <a:blip r:embed="rId16">
                      <a:extLst>
                        <a:ext uri="{28A0092B-C50C-407E-A947-70E740481C1C}">
                          <a14:useLocalDpi xmlns:a14="http://schemas.microsoft.com/office/drawing/2010/main" val="0"/>
                        </a:ext>
                      </a:extLst>
                    </a:blip>
                    <a:srcRect l="12503" t="35190" r="12833" b="35807"/>
                    <a:stretch>
                      <a:fillRect/>
                    </a:stretch>
                  </pic:blipFill>
                  <pic:spPr>
                    <a:xfrm>
                      <a:off x="0" y="0"/>
                      <a:ext cx="5707494" cy="3136150"/>
                    </a:xfrm>
                    <a:prstGeom prst="rect">
                      <a:avLst/>
                    </a:prstGeom>
                    <a:noFill/>
                    <a:ln>
                      <a:noFill/>
                    </a:ln>
                  </pic:spPr>
                </pic:pic>
              </a:graphicData>
            </a:graphic>
          </wp:inline>
        </w:drawing>
      </w:r>
    </w:p>
    <w:p>
      <w:pPr>
        <w:pStyle w:val="9"/>
        <w:bidi w:val="0"/>
        <w:ind w:firstLine="482" w:firstLineChars="200"/>
        <w:rPr>
          <w:rFonts w:hint="eastAsia" w:ascii="宋体" w:hAnsi="宋体" w:eastAsia="宋体" w:cs="宋体"/>
          <w:sz w:val="24"/>
          <w:szCs w:val="24"/>
          <w:lang w:val="en-US" w:eastAsia="zh-CN"/>
        </w:rPr>
      </w:pPr>
      <w:bookmarkStart w:id="1058" w:name="_Toc6332"/>
      <w:bookmarkStart w:id="1059" w:name="_Toc15971"/>
      <w:bookmarkStart w:id="1060" w:name="_Toc29677"/>
      <w:bookmarkStart w:id="1061" w:name="_Toc20670"/>
      <w:r>
        <w:rPr>
          <w:rFonts w:hint="eastAsia" w:ascii="宋体" w:hAnsi="宋体" w:eastAsia="宋体" w:cs="宋体"/>
          <w:sz w:val="24"/>
          <w:szCs w:val="24"/>
          <w:lang w:val="en-US" w:eastAsia="zh-CN"/>
        </w:rPr>
        <w:t>6.3.</w:t>
      </w:r>
      <w:bookmarkEnd w:id="1058"/>
      <w:bookmarkEnd w:id="1059"/>
      <w:bookmarkEnd w:id="1060"/>
      <w:bookmarkEnd w:id="1061"/>
      <w:bookmarkStart w:id="1062" w:name="_Toc5074"/>
      <w:bookmarkStart w:id="1063" w:name="_Toc25716"/>
      <w:bookmarkStart w:id="1064" w:name="_Toc13975"/>
      <w:r>
        <w:rPr>
          <w:rFonts w:hint="eastAsia" w:ascii="宋体" w:hAnsi="宋体" w:eastAsia="宋体" w:cs="宋体"/>
          <w:sz w:val="24"/>
          <w:szCs w:val="24"/>
          <w:lang w:val="en-US" w:eastAsia="zh-CN"/>
        </w:rPr>
        <w:t>5安全生产管理制度保证措施</w:t>
      </w:r>
      <w:bookmarkEnd w:id="1062"/>
      <w:bookmarkEnd w:id="1063"/>
      <w:bookmarkEnd w:id="106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仿宋" w:hAnsi="仿宋" w:eastAsia="仿宋" w:cs="仿宋"/>
          <w:b w:val="0"/>
          <w:bCs w:val="0"/>
          <w:kern w:val="0"/>
          <w:sz w:val="24"/>
          <w:szCs w:val="24"/>
          <w:lang w:val="en-US" w:eastAsia="zh-CN" w:bidi="ar-SA"/>
        </w:rPr>
      </w:pPr>
      <w:r>
        <w:rPr>
          <w:rFonts w:hint="eastAsia" w:asciiTheme="minorEastAsia" w:hAnsiTheme="minorEastAsia" w:eastAsiaTheme="minorEastAsia" w:cstheme="minorEastAsia"/>
          <w:b w:val="0"/>
          <w:bCs w:val="0"/>
          <w:sz w:val="24"/>
          <w:lang w:val="en-US" w:eastAsia="zh-CN"/>
        </w:rPr>
        <w:t>依据现行安全管理标准、规范及公司关于安全管理的各项规章制度，根据项目特点编制相关管理制度，为项目安全生产保驾护航。主要有：全员安全生产责任制、安全生产会议制、安全事故报告制度、安全生产检查管理制度、安全生产教育培训教育制度、安全生产交底管理制度、应急救援管理及突发事件信息报告处置等。</w:t>
      </w:r>
      <w:r>
        <w:rPr>
          <w:rFonts w:hint="eastAsia" w:ascii="仿宋" w:hAnsi="仿宋" w:eastAsia="仿宋" w:cs="仿宋"/>
          <w:b w:val="0"/>
          <w:bCs w:val="0"/>
          <w:kern w:val="0"/>
          <w:sz w:val="24"/>
          <w:szCs w:val="24"/>
          <w:lang w:val="en-US" w:eastAsia="zh-CN" w:bidi="ar-SA"/>
        </w:rPr>
        <w:t xml:space="preserve"> </w:t>
      </w:r>
    </w:p>
    <w:p>
      <w:pPr>
        <w:pStyle w:val="11"/>
        <w:pageBreakBefore w:val="0"/>
        <w:kinsoku/>
        <w:wordWrap/>
        <w:overflowPunct/>
        <w:topLinePunct w:val="0"/>
        <w:autoSpaceDE/>
        <w:autoSpaceDN/>
        <w:bidi w:val="0"/>
        <w:adjustRightInd/>
        <w:snapToGrid/>
        <w:spacing w:after="0" w:line="360" w:lineRule="auto"/>
        <w:ind w:left="0" w:leftChars="0" w:firstLine="482" w:firstLineChars="200"/>
        <w:jc w:val="center"/>
        <w:textAlignment w:val="auto"/>
        <w:rPr>
          <w:rFonts w:hint="default" w:ascii="仿宋" w:hAnsi="仿宋" w:eastAsia="仿宋" w:cs="仿宋"/>
          <w:b/>
          <w:bCs/>
          <w:sz w:val="24"/>
          <w:szCs w:val="24"/>
          <w:lang w:val="en-US" w:eastAsia="zh-CN"/>
        </w:rPr>
      </w:pPr>
      <w:r>
        <w:rPr>
          <w:rFonts w:hint="eastAsia" w:ascii="仿宋" w:hAnsi="仿宋" w:eastAsia="仿宋" w:cs="仿宋"/>
          <w:b/>
          <w:bCs/>
          <w:sz w:val="24"/>
          <w:szCs w:val="24"/>
          <w:lang w:val="en-US" w:eastAsia="zh-CN"/>
        </w:rPr>
        <w:t>安全管理制度清单</w:t>
      </w:r>
    </w:p>
    <w:tbl>
      <w:tblPr>
        <w:tblStyle w:val="20"/>
        <w:tblW w:w="9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6"/>
        <w:gridCol w:w="6127"/>
        <w:gridCol w:w="18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top w:val="single" w:color="auto" w:sz="12" w:space="0"/>
              <w:left w:val="single" w:color="auto" w:sz="12" w:space="0"/>
            </w:tcBorders>
            <w:vAlign w:val="center"/>
          </w:tcPr>
          <w:p>
            <w:pPr>
              <w:pStyle w:val="11"/>
              <w:ind w:left="0" w:leftChars="0" w:firstLine="211" w:firstLineChars="100"/>
              <w:jc w:val="both"/>
              <w:rPr>
                <w:rFonts w:ascii="仿宋" w:hAnsi="仿宋" w:eastAsia="仿宋" w:cs="宋体"/>
                <w:b/>
                <w:bCs/>
                <w:sz w:val="21"/>
                <w:szCs w:val="21"/>
              </w:rPr>
            </w:pPr>
            <w:r>
              <w:rPr>
                <w:rFonts w:hint="eastAsia" w:ascii="仿宋" w:hAnsi="仿宋" w:eastAsia="仿宋" w:cs="宋体"/>
                <w:b/>
                <w:bCs/>
                <w:sz w:val="21"/>
                <w:szCs w:val="21"/>
              </w:rPr>
              <w:t>序号</w:t>
            </w:r>
          </w:p>
        </w:tc>
        <w:tc>
          <w:tcPr>
            <w:tcW w:w="6127" w:type="dxa"/>
            <w:tcBorders>
              <w:top w:val="single" w:color="auto" w:sz="12" w:space="0"/>
            </w:tcBorders>
            <w:vAlign w:val="center"/>
          </w:tcPr>
          <w:p>
            <w:pPr>
              <w:pStyle w:val="11"/>
              <w:ind w:firstLine="1687" w:firstLineChars="800"/>
              <w:jc w:val="both"/>
              <w:rPr>
                <w:rFonts w:ascii="仿宋" w:hAnsi="仿宋" w:eastAsia="仿宋" w:cs="宋体"/>
                <w:b/>
                <w:bCs/>
                <w:sz w:val="21"/>
                <w:szCs w:val="21"/>
              </w:rPr>
            </w:pPr>
            <w:r>
              <w:rPr>
                <w:rFonts w:hint="eastAsia" w:ascii="仿宋" w:hAnsi="仿宋" w:eastAsia="仿宋" w:cs="宋体"/>
                <w:b/>
                <w:bCs/>
                <w:sz w:val="21"/>
                <w:szCs w:val="21"/>
              </w:rPr>
              <w:t>制度名称</w:t>
            </w:r>
          </w:p>
        </w:tc>
        <w:tc>
          <w:tcPr>
            <w:tcW w:w="1856" w:type="dxa"/>
            <w:tcBorders>
              <w:top w:val="single" w:color="auto" w:sz="12" w:space="0"/>
              <w:right w:val="single" w:color="auto" w:sz="12" w:space="0"/>
            </w:tcBorders>
            <w:vAlign w:val="center"/>
          </w:tcPr>
          <w:p>
            <w:pPr>
              <w:pStyle w:val="11"/>
              <w:ind w:firstLine="361"/>
              <w:jc w:val="both"/>
              <w:rPr>
                <w:rFonts w:ascii="仿宋" w:hAnsi="仿宋" w:eastAsia="仿宋" w:cs="宋体"/>
                <w:b/>
                <w:bCs/>
                <w:sz w:val="21"/>
                <w:szCs w:val="21"/>
              </w:rPr>
            </w:pPr>
            <w:r>
              <w:rPr>
                <w:rFonts w:hint="eastAsia" w:ascii="仿宋" w:hAnsi="仿宋" w:eastAsia="仿宋" w:cs="宋体"/>
                <w:b/>
                <w:bCs/>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安全生产目标管理办法</w:t>
            </w:r>
          </w:p>
        </w:tc>
        <w:tc>
          <w:tcPr>
            <w:tcW w:w="1856" w:type="dxa"/>
            <w:tcBorders>
              <w:right w:val="single" w:color="auto" w:sz="12" w:space="0"/>
            </w:tcBorders>
            <w:vAlign w:val="center"/>
          </w:tcPr>
          <w:p>
            <w:pPr>
              <w:pStyle w:val="11"/>
              <w:ind w:firstLine="361"/>
              <w:rPr>
                <w:rFonts w:ascii="仿宋" w:hAnsi="仿宋" w:eastAsia="仿宋" w:cs="宋体"/>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2</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安全生产会议管理办法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3</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lang w:eastAsia="zh-CN"/>
              </w:rPr>
              <w:t>全员</w:t>
            </w:r>
            <w:r>
              <w:rPr>
                <w:rFonts w:hint="eastAsia" w:ascii="仿宋" w:hAnsi="仿宋" w:eastAsia="仿宋" w:cs="宋体"/>
                <w:sz w:val="21"/>
                <w:szCs w:val="21"/>
              </w:rPr>
              <w:t>安全生产责任制管理办法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4</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安全生产管理组织机构及职责</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5</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安全生产档案管理办法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6</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安全生产费用管理办法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7</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安全生产教育培训管理办法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8</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w:t>
            </w:r>
            <w:r>
              <w:rPr>
                <w:rFonts w:hint="eastAsia" w:ascii="仿宋" w:hAnsi="仿宋" w:eastAsia="仿宋" w:cs="宋体"/>
                <w:sz w:val="21"/>
                <w:szCs w:val="21"/>
                <w:lang w:eastAsia="zh-CN"/>
              </w:rPr>
              <w:t>检查（</w:t>
            </w:r>
            <w:r>
              <w:rPr>
                <w:rFonts w:hint="eastAsia" w:ascii="仿宋" w:hAnsi="仿宋" w:eastAsia="仿宋" w:cs="宋体"/>
                <w:sz w:val="21"/>
                <w:szCs w:val="21"/>
              </w:rPr>
              <w:t>风险</w:t>
            </w:r>
            <w:r>
              <w:rPr>
                <w:rFonts w:hint="eastAsia" w:ascii="仿宋" w:hAnsi="仿宋" w:eastAsia="仿宋" w:cs="宋体"/>
                <w:sz w:val="21"/>
                <w:szCs w:val="21"/>
                <w:lang w:eastAsia="zh-CN"/>
              </w:rPr>
              <w:t>分级</w:t>
            </w:r>
            <w:r>
              <w:rPr>
                <w:rFonts w:hint="eastAsia" w:ascii="仿宋" w:hAnsi="仿宋" w:eastAsia="仿宋" w:cs="宋体"/>
                <w:sz w:val="21"/>
                <w:szCs w:val="21"/>
              </w:rPr>
              <w:t>管控与隐患</w:t>
            </w:r>
            <w:r>
              <w:rPr>
                <w:rFonts w:hint="eastAsia" w:ascii="仿宋" w:hAnsi="仿宋" w:eastAsia="仿宋" w:cs="宋体"/>
                <w:sz w:val="21"/>
                <w:szCs w:val="21"/>
                <w:lang w:eastAsia="zh-CN"/>
              </w:rPr>
              <w:t>排查</w:t>
            </w:r>
            <w:r>
              <w:rPr>
                <w:rFonts w:hint="eastAsia" w:ascii="仿宋" w:hAnsi="仿宋" w:eastAsia="仿宋" w:cs="宋体"/>
                <w:sz w:val="21"/>
                <w:szCs w:val="21"/>
              </w:rPr>
              <w:t>治理</w:t>
            </w:r>
            <w:r>
              <w:rPr>
                <w:rFonts w:hint="eastAsia" w:ascii="仿宋" w:hAnsi="仿宋" w:eastAsia="仿宋" w:cs="宋体"/>
                <w:sz w:val="21"/>
                <w:szCs w:val="21"/>
                <w:lang w:eastAsia="zh-CN"/>
              </w:rPr>
              <w:t>）</w:t>
            </w:r>
            <w:r>
              <w:rPr>
                <w:rFonts w:hint="eastAsia" w:ascii="仿宋" w:hAnsi="仿宋" w:eastAsia="仿宋" w:cs="宋体"/>
                <w:sz w:val="21"/>
                <w:szCs w:val="21"/>
              </w:rPr>
              <w:t>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9</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安全风险辨识公示管理办法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bottom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10</w:t>
            </w:r>
          </w:p>
        </w:tc>
        <w:tc>
          <w:tcPr>
            <w:tcW w:w="6127" w:type="dxa"/>
            <w:tcBorders>
              <w:bottom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施工组织设计管理办法</w:t>
            </w:r>
          </w:p>
        </w:tc>
        <w:tc>
          <w:tcPr>
            <w:tcW w:w="1856" w:type="dxa"/>
            <w:tcBorders>
              <w:bottom w:val="single" w:color="auto" w:sz="12" w:space="0"/>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top w:val="single" w:color="auto" w:sz="12" w:space="0"/>
              <w:left w:val="single" w:color="auto" w:sz="12" w:space="0"/>
              <w:bottom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11</w:t>
            </w:r>
          </w:p>
        </w:tc>
        <w:tc>
          <w:tcPr>
            <w:tcW w:w="6127" w:type="dxa"/>
            <w:tcBorders>
              <w:top w:val="single" w:color="auto" w:sz="12" w:space="0"/>
              <w:bottom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危险性较大的分部分项工程管理办法</w:t>
            </w:r>
          </w:p>
        </w:tc>
        <w:tc>
          <w:tcPr>
            <w:tcW w:w="1856" w:type="dxa"/>
            <w:tcBorders>
              <w:top w:val="single" w:color="auto" w:sz="12" w:space="0"/>
              <w:bottom w:val="single" w:color="auto" w:sz="12" w:space="0"/>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exact"/>
          <w:jc w:val="center"/>
        </w:trPr>
        <w:tc>
          <w:tcPr>
            <w:tcW w:w="9439" w:type="dxa"/>
            <w:gridSpan w:val="3"/>
            <w:tcBorders>
              <w:top w:val="single" w:color="auto" w:sz="12" w:space="0"/>
              <w:left w:val="nil"/>
              <w:bottom w:val="single" w:color="auto" w:sz="12" w:space="0"/>
              <w:right w:val="nil"/>
            </w:tcBorders>
            <w:vAlign w:val="center"/>
          </w:tcPr>
          <w:p>
            <w:pPr>
              <w:pStyle w:val="11"/>
              <w:pageBreakBefore w:val="0"/>
              <w:kinsoku/>
              <w:wordWrap/>
              <w:overflowPunct/>
              <w:topLinePunct w:val="0"/>
              <w:autoSpaceDE/>
              <w:autoSpaceDN/>
              <w:bidi w:val="0"/>
              <w:adjustRightInd/>
              <w:snapToGrid/>
              <w:spacing w:after="0" w:line="360" w:lineRule="auto"/>
              <w:ind w:left="0" w:leftChars="0" w:firstLine="482" w:firstLineChars="200"/>
              <w:jc w:val="center"/>
              <w:textAlignment w:val="auto"/>
              <w:rPr>
                <w:rFonts w:hint="default" w:ascii="仿宋" w:hAnsi="仿宋" w:eastAsia="仿宋" w:cs="仿宋"/>
                <w:b/>
                <w:bCs/>
                <w:sz w:val="24"/>
                <w:szCs w:val="24"/>
                <w:lang w:val="en-US" w:eastAsia="zh-CN"/>
              </w:rPr>
            </w:pPr>
            <w:r>
              <w:rPr>
                <w:rFonts w:hint="eastAsia" w:ascii="仿宋" w:hAnsi="仿宋" w:eastAsia="仿宋" w:cs="仿宋"/>
                <w:b/>
                <w:bCs/>
                <w:sz w:val="24"/>
                <w:szCs w:val="24"/>
                <w:lang w:val="en-US" w:eastAsia="zh-CN"/>
              </w:rPr>
              <w:t>表4.1-2安全管理制度清单</w:t>
            </w:r>
          </w:p>
          <w:p>
            <w:pPr>
              <w:pStyle w:val="11"/>
              <w:ind w:firstLine="422" w:firstLineChars="200"/>
              <w:jc w:val="both"/>
              <w:rPr>
                <w:rFonts w:hint="eastAsia" w:ascii="仿宋" w:hAnsi="仿宋" w:eastAsia="仿宋" w:cs="宋体"/>
                <w:b/>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top w:val="single" w:color="auto" w:sz="12" w:space="0"/>
              <w:left w:val="single" w:color="auto" w:sz="12" w:space="0"/>
              <w:bottom w:val="single" w:color="auto" w:sz="12" w:space="0"/>
            </w:tcBorders>
            <w:vAlign w:val="center"/>
          </w:tcPr>
          <w:p>
            <w:pPr>
              <w:pStyle w:val="11"/>
              <w:ind w:left="0" w:leftChars="0" w:firstLine="211" w:firstLineChars="100"/>
              <w:jc w:val="both"/>
              <w:rPr>
                <w:rFonts w:ascii="仿宋" w:hAnsi="仿宋" w:eastAsia="仿宋" w:cs="宋体"/>
                <w:sz w:val="21"/>
                <w:szCs w:val="21"/>
              </w:rPr>
            </w:pPr>
            <w:r>
              <w:rPr>
                <w:rFonts w:hint="eastAsia" w:ascii="仿宋" w:hAnsi="仿宋" w:eastAsia="仿宋" w:cs="宋体"/>
                <w:b/>
                <w:bCs/>
                <w:sz w:val="21"/>
                <w:szCs w:val="21"/>
              </w:rPr>
              <w:t>序号</w:t>
            </w:r>
          </w:p>
        </w:tc>
        <w:tc>
          <w:tcPr>
            <w:tcW w:w="6127" w:type="dxa"/>
            <w:tcBorders>
              <w:top w:val="single" w:color="auto" w:sz="12" w:space="0"/>
              <w:bottom w:val="single" w:color="auto" w:sz="12" w:space="0"/>
            </w:tcBorders>
            <w:vAlign w:val="center"/>
          </w:tcPr>
          <w:p>
            <w:pPr>
              <w:pStyle w:val="11"/>
              <w:ind w:firstLine="1687" w:firstLineChars="800"/>
              <w:jc w:val="both"/>
              <w:rPr>
                <w:rFonts w:ascii="仿宋" w:hAnsi="仿宋" w:eastAsia="仿宋" w:cs="宋体"/>
                <w:sz w:val="21"/>
                <w:szCs w:val="21"/>
              </w:rPr>
            </w:pPr>
            <w:r>
              <w:rPr>
                <w:rFonts w:hint="eastAsia" w:ascii="仿宋" w:hAnsi="仿宋" w:eastAsia="仿宋" w:cs="宋体"/>
                <w:b/>
                <w:bCs/>
                <w:sz w:val="21"/>
                <w:szCs w:val="21"/>
              </w:rPr>
              <w:t>制度名称</w:t>
            </w:r>
          </w:p>
        </w:tc>
        <w:tc>
          <w:tcPr>
            <w:tcW w:w="1856" w:type="dxa"/>
            <w:tcBorders>
              <w:top w:val="single" w:color="auto" w:sz="12" w:space="0"/>
              <w:bottom w:val="single" w:color="auto" w:sz="12" w:space="0"/>
              <w:right w:val="single" w:color="auto" w:sz="12" w:space="0"/>
            </w:tcBorders>
            <w:vAlign w:val="center"/>
          </w:tcPr>
          <w:p>
            <w:pPr>
              <w:pStyle w:val="11"/>
              <w:ind w:firstLine="422" w:firstLineChars="200"/>
              <w:jc w:val="both"/>
              <w:rPr>
                <w:rFonts w:ascii="仿宋" w:hAnsi="仿宋" w:eastAsia="仿宋" w:cs="宋体"/>
                <w:sz w:val="18"/>
                <w:szCs w:val="18"/>
              </w:rPr>
            </w:pPr>
            <w:r>
              <w:rPr>
                <w:rFonts w:hint="eastAsia" w:ascii="仿宋" w:hAnsi="仿宋" w:eastAsia="仿宋" w:cs="宋体"/>
                <w:b/>
                <w:bCs/>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top w:val="single" w:color="auto" w:sz="12" w:space="0"/>
              <w:left w:val="single" w:color="auto" w:sz="12" w:space="0"/>
            </w:tcBorders>
            <w:vAlign w:val="center"/>
          </w:tcPr>
          <w:p>
            <w:pPr>
              <w:pStyle w:val="11"/>
              <w:ind w:firstLine="420" w:firstLineChars="200"/>
              <w:rPr>
                <w:rFonts w:hint="eastAsia" w:ascii="仿宋" w:hAnsi="仿宋" w:eastAsia="仿宋" w:cs="宋体"/>
                <w:sz w:val="21"/>
                <w:szCs w:val="21"/>
              </w:rPr>
            </w:pPr>
            <w:r>
              <w:rPr>
                <w:rFonts w:hint="eastAsia" w:ascii="仿宋" w:hAnsi="仿宋" w:eastAsia="仿宋" w:cs="宋体"/>
                <w:sz w:val="21"/>
                <w:szCs w:val="21"/>
              </w:rPr>
              <w:t>12</w:t>
            </w:r>
          </w:p>
        </w:tc>
        <w:tc>
          <w:tcPr>
            <w:tcW w:w="6127" w:type="dxa"/>
            <w:tcBorders>
              <w:top w:val="single" w:color="auto" w:sz="12" w:space="0"/>
            </w:tcBorders>
            <w:vAlign w:val="center"/>
          </w:tcPr>
          <w:p>
            <w:pPr>
              <w:pStyle w:val="11"/>
              <w:ind w:firstLine="420" w:firstLineChars="200"/>
              <w:rPr>
                <w:rFonts w:hint="eastAsia" w:ascii="仿宋" w:hAnsi="仿宋" w:eastAsia="仿宋" w:cs="宋体"/>
                <w:sz w:val="21"/>
                <w:szCs w:val="21"/>
              </w:rPr>
            </w:pPr>
            <w:r>
              <w:rPr>
                <w:rFonts w:hint="eastAsia" w:ascii="仿宋" w:hAnsi="仿宋" w:eastAsia="仿宋" w:cs="宋体"/>
                <w:sz w:val="21"/>
                <w:szCs w:val="21"/>
              </w:rPr>
              <w:t>安全技术交底管理办法</w:t>
            </w:r>
          </w:p>
        </w:tc>
        <w:tc>
          <w:tcPr>
            <w:tcW w:w="1856" w:type="dxa"/>
            <w:tcBorders>
              <w:top w:val="single" w:color="auto" w:sz="12" w:space="0"/>
              <w:right w:val="single" w:color="auto" w:sz="12" w:space="0"/>
            </w:tcBorders>
            <w:vAlign w:val="center"/>
          </w:tcPr>
          <w:p>
            <w:pPr>
              <w:pStyle w:val="11"/>
              <w:ind w:firstLine="360" w:firstLineChars="20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13</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临时用电安全管理办法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14</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设备设施安全管理办法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15</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危险品管理办法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eastAsia" w:ascii="仿宋" w:hAnsi="仿宋" w:eastAsia="仿宋" w:cs="宋体"/>
                <w:sz w:val="21"/>
                <w:szCs w:val="21"/>
                <w:lang w:val="en-US" w:eastAsia="zh-CN"/>
              </w:rPr>
            </w:pPr>
            <w:r>
              <w:rPr>
                <w:rFonts w:hint="eastAsia" w:ascii="仿宋" w:hAnsi="仿宋" w:eastAsia="仿宋" w:cs="宋体"/>
                <w:sz w:val="21"/>
                <w:szCs w:val="21"/>
              </w:rPr>
              <w:t>1</w:t>
            </w:r>
            <w:r>
              <w:rPr>
                <w:rFonts w:hint="eastAsia" w:ascii="仿宋" w:hAnsi="仿宋" w:eastAsia="仿宋" w:cs="宋体"/>
                <w:sz w:val="21"/>
                <w:szCs w:val="21"/>
                <w:lang w:val="en-US" w:eastAsia="zh-CN"/>
              </w:rPr>
              <w:t>6</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消防安全管理办法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eastAsia" w:ascii="仿宋" w:hAnsi="仿宋" w:eastAsia="仿宋" w:cs="宋体"/>
                <w:sz w:val="21"/>
                <w:szCs w:val="21"/>
                <w:lang w:val="en-US" w:eastAsia="zh-CN"/>
              </w:rPr>
            </w:pPr>
            <w:r>
              <w:rPr>
                <w:rFonts w:hint="eastAsia" w:ascii="仿宋" w:hAnsi="仿宋" w:eastAsia="仿宋" w:cs="宋体"/>
                <w:sz w:val="21"/>
                <w:szCs w:val="21"/>
              </w:rPr>
              <w:t>1</w:t>
            </w:r>
            <w:r>
              <w:rPr>
                <w:rFonts w:hint="eastAsia" w:ascii="仿宋" w:hAnsi="仿宋" w:eastAsia="仿宋" w:cs="宋体"/>
                <w:sz w:val="21"/>
                <w:szCs w:val="21"/>
                <w:lang w:val="en-US" w:eastAsia="zh-CN"/>
              </w:rPr>
              <w:t>7</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新材料、新技术、新工艺、新设备应用安全管理办法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eastAsia" w:ascii="仿宋" w:hAnsi="仿宋" w:eastAsia="仿宋" w:cs="宋体"/>
                <w:sz w:val="21"/>
                <w:szCs w:val="21"/>
                <w:lang w:val="en-US" w:eastAsia="zh-CN"/>
              </w:rPr>
            </w:pPr>
            <w:r>
              <w:rPr>
                <w:rFonts w:hint="eastAsia" w:ascii="仿宋" w:hAnsi="仿宋" w:eastAsia="仿宋" w:cs="宋体"/>
                <w:sz w:val="21"/>
                <w:szCs w:val="21"/>
              </w:rPr>
              <w:t>1</w:t>
            </w:r>
            <w:r>
              <w:rPr>
                <w:rFonts w:hint="eastAsia" w:ascii="仿宋" w:hAnsi="仿宋" w:eastAsia="仿宋" w:cs="宋体"/>
                <w:sz w:val="21"/>
                <w:szCs w:val="21"/>
                <w:lang w:val="en-US" w:eastAsia="zh-CN"/>
              </w:rPr>
              <w:t>8</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班组安全管理办法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19</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职业健康安全管理办法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20</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劳动防护用品管理办法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21</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相关方安全管理办法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22</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危险作业安全管理办法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23</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安全文化建设管理办法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24</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安全生产举报和调查管理办法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25</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施工现场安全文明警示标志标牌管理办法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26</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应急救援管理及突发事件信息报告处置管理办法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27</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安全生产责任追究管理办法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28</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安全事故报告及调查处理管理办法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exact"/>
          <w:jc w:val="center"/>
        </w:trPr>
        <w:tc>
          <w:tcPr>
            <w:tcW w:w="1456" w:type="dxa"/>
            <w:tcBorders>
              <w:left w:val="single" w:color="auto" w:sz="12" w:space="0"/>
              <w:bottom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29</w:t>
            </w:r>
          </w:p>
        </w:tc>
        <w:tc>
          <w:tcPr>
            <w:tcW w:w="6127" w:type="dxa"/>
            <w:tcBorders>
              <w:bottom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安全生产奖惩管理办法</w:t>
            </w:r>
          </w:p>
        </w:tc>
        <w:tc>
          <w:tcPr>
            <w:tcW w:w="1856" w:type="dxa"/>
            <w:tcBorders>
              <w:bottom w:val="single" w:color="auto" w:sz="12" w:space="0"/>
              <w:right w:val="single" w:color="auto" w:sz="12" w:space="0"/>
            </w:tcBorders>
            <w:vAlign w:val="center"/>
          </w:tcPr>
          <w:p>
            <w:pPr>
              <w:pStyle w:val="11"/>
              <w:ind w:firstLine="360"/>
              <w:rPr>
                <w:rFonts w:ascii="仿宋" w:hAnsi="仿宋" w:eastAsia="仿宋" w:cs="宋体"/>
                <w:sz w:val="18"/>
                <w:szCs w:val="18"/>
              </w:rPr>
            </w:pPr>
          </w:p>
        </w:tc>
      </w:tr>
    </w:tbl>
    <w:p>
      <w:pPr>
        <w:pStyle w:val="11"/>
        <w:pageBreakBefore w:val="0"/>
        <w:kinsoku/>
        <w:wordWrap/>
        <w:overflowPunct/>
        <w:topLinePunct w:val="0"/>
        <w:autoSpaceDE/>
        <w:autoSpaceDN/>
        <w:bidi w:val="0"/>
        <w:adjustRightInd/>
        <w:snapToGrid/>
        <w:spacing w:before="0" w:beforeLines="0" w:after="0" w:afterLines="0" w:line="360" w:lineRule="auto"/>
        <w:ind w:left="0" w:leftChars="0" w:firstLine="482" w:firstLineChars="200"/>
        <w:jc w:val="both"/>
        <w:textAlignment w:val="auto"/>
        <w:outlineLvl w:val="9"/>
        <w:rPr>
          <w:rFonts w:hint="eastAsia" w:asciiTheme="minorEastAsia" w:hAnsiTheme="minorEastAsia" w:eastAsiaTheme="minorEastAsia" w:cstheme="minorEastAsia"/>
          <w:b/>
          <w:bCs/>
          <w:sz w:val="24"/>
          <w:lang w:val="en-US" w:eastAsia="zh-CN"/>
        </w:rPr>
      </w:pPr>
    </w:p>
    <w:p>
      <w:pPr>
        <w:pStyle w:val="9"/>
        <w:bidi w:val="0"/>
        <w:ind w:firstLine="482"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6.3.6安全生产组织保证措施</w:t>
      </w:r>
    </w:p>
    <w:p>
      <w:pPr>
        <w:pStyle w:val="2"/>
        <w:ind w:left="0" w:leftChars="0" w:firstLine="0" w:firstLineChars="0"/>
        <w:jc w:val="center"/>
        <w:outlineLvl w:val="9"/>
        <w:rPr>
          <w:rFonts w:hint="eastAsia" w:ascii="仿宋" w:hAnsi="仿宋" w:eastAsia="仿宋" w:cs="仿宋"/>
          <w:b/>
          <w:bCs/>
          <w:sz w:val="24"/>
          <w:szCs w:val="24"/>
          <w:lang w:val="en-US" w:eastAsia="zh-CN"/>
        </w:rPr>
      </w:pPr>
      <w:bookmarkStart w:id="1065" w:name="_Toc28164"/>
      <w:bookmarkStart w:id="1066" w:name="_Toc14307"/>
      <w:bookmarkStart w:id="1067" w:name="_Toc7778"/>
      <w:bookmarkStart w:id="1068" w:name="_Toc7304"/>
      <w:bookmarkStart w:id="1069" w:name="_Toc22122"/>
      <w:r>
        <w:rPr>
          <w:rFonts w:hint="eastAsia" w:ascii="仿宋" w:hAnsi="仿宋" w:eastAsia="仿宋" w:cs="仿宋"/>
          <w:b/>
          <w:bCs/>
          <w:sz w:val="24"/>
          <w:szCs w:val="24"/>
          <w:lang w:val="en-US" w:eastAsia="zh-CN"/>
        </w:rPr>
        <w:t xml:space="preserve">    </w:t>
      </w:r>
    </w:p>
    <w:p>
      <w:pPr>
        <w:pStyle w:val="2"/>
        <w:ind w:left="0" w:leftChars="0" w:firstLine="0" w:firstLineChars="0"/>
        <w:jc w:val="center"/>
        <w:outlineLvl w:val="0"/>
        <w:rPr>
          <w:rFonts w:hint="eastAsia" w:ascii="仿宋" w:hAnsi="仿宋" w:eastAsia="仿宋" w:cs="仿宋"/>
          <w:b/>
          <w:bCs/>
          <w:sz w:val="24"/>
          <w:szCs w:val="24"/>
          <w:lang w:val="en-US" w:eastAsia="zh-CN"/>
        </w:rPr>
      </w:pPr>
      <w:bookmarkStart w:id="1070" w:name="_Toc22484"/>
      <w:bookmarkStart w:id="1071" w:name="_Toc6425"/>
      <w:bookmarkStart w:id="1072" w:name="_Toc5689"/>
      <w:bookmarkStart w:id="1073" w:name="_Toc2389"/>
      <w:bookmarkStart w:id="1074" w:name="_Toc775"/>
      <w:bookmarkStart w:id="1075" w:name="_Toc14947"/>
    </w:p>
    <w:p>
      <w:pPr>
        <w:pStyle w:val="2"/>
        <w:ind w:left="0" w:leftChars="0" w:firstLine="0" w:firstLineChars="0"/>
        <w:jc w:val="center"/>
        <w:outlineLvl w:val="0"/>
        <w:rPr>
          <w:rFonts w:hint="eastAsia" w:ascii="仿宋" w:hAnsi="仿宋" w:eastAsia="仿宋" w:cs="仿宋"/>
          <w:b/>
          <w:bCs/>
          <w:sz w:val="24"/>
          <w:szCs w:val="24"/>
          <w:lang w:val="en-US" w:eastAsia="zh-CN"/>
        </w:rPr>
      </w:pPr>
    </w:p>
    <w:p>
      <w:pPr>
        <w:pStyle w:val="2"/>
        <w:ind w:left="0" w:leftChars="0" w:firstLine="0" w:firstLineChars="0"/>
        <w:jc w:val="center"/>
        <w:outlineLvl w:val="0"/>
        <w:rPr>
          <w:rFonts w:hint="eastAsia" w:ascii="仿宋" w:hAnsi="仿宋" w:eastAsia="仿宋" w:cs="仿宋"/>
          <w:b/>
          <w:bCs/>
          <w:sz w:val="24"/>
          <w:szCs w:val="24"/>
          <w:lang w:val="en-US" w:eastAsia="zh-CN"/>
        </w:rPr>
      </w:pPr>
    </w:p>
    <w:p>
      <w:pPr>
        <w:pStyle w:val="2"/>
        <w:ind w:left="0" w:leftChars="0" w:firstLine="0" w:firstLineChars="0"/>
        <w:jc w:val="center"/>
        <w:outlineLvl w:val="0"/>
        <w:rPr>
          <w:rFonts w:hint="eastAsia" w:ascii="仿宋" w:hAnsi="仿宋" w:eastAsia="仿宋" w:cs="仿宋"/>
          <w:b/>
          <w:bCs/>
          <w:sz w:val="24"/>
          <w:szCs w:val="24"/>
          <w:lang w:val="en-US" w:eastAsia="zh-CN"/>
        </w:rPr>
      </w:pPr>
    </w:p>
    <w:p>
      <w:pPr>
        <w:pStyle w:val="2"/>
        <w:ind w:left="0" w:leftChars="0" w:firstLine="0" w:firstLineChars="0"/>
        <w:jc w:val="center"/>
        <w:outlineLvl w:val="0"/>
        <w:rPr>
          <w:rFonts w:hint="eastAsia" w:ascii="仿宋" w:hAnsi="仿宋" w:eastAsia="仿宋" w:cs="仿宋"/>
          <w:b/>
          <w:bCs/>
          <w:sz w:val="24"/>
          <w:szCs w:val="24"/>
          <w:lang w:val="en-US" w:eastAsia="zh-CN"/>
        </w:rPr>
      </w:pPr>
    </w:p>
    <w:p>
      <w:pPr>
        <w:pStyle w:val="2"/>
        <w:ind w:left="0" w:leftChars="0" w:firstLine="0" w:firstLineChars="0"/>
        <w:jc w:val="center"/>
        <w:outlineLvl w:val="0"/>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安全生产组织机构图</w:t>
      </w:r>
      <w:bookmarkEnd w:id="1065"/>
      <w:bookmarkEnd w:id="1066"/>
      <w:bookmarkEnd w:id="1067"/>
      <w:bookmarkEnd w:id="1068"/>
      <w:bookmarkEnd w:id="1069"/>
      <w:bookmarkEnd w:id="1070"/>
      <w:bookmarkEnd w:id="1071"/>
      <w:bookmarkEnd w:id="1072"/>
      <w:bookmarkEnd w:id="1073"/>
      <w:bookmarkEnd w:id="1074"/>
      <w:bookmarkEnd w:id="1075"/>
    </w:p>
    <w:p>
      <w:pPr>
        <w:pStyle w:val="2"/>
        <w:rPr>
          <w:rFonts w:hint="eastAsia" w:ascii="仿宋" w:hAnsi="仿宋" w:eastAsia="仿宋" w:cs="仿宋"/>
          <w:sz w:val="24"/>
          <w:szCs w:val="24"/>
          <w:lang w:val="en-US" w:eastAsia="zh-CN"/>
        </w:rPr>
      </w:pPr>
      <w:r>
        <w:rPr>
          <w:sz w:val="24"/>
        </w:rPr>
        <mc:AlternateContent>
          <mc:Choice Requires="wpg">
            <w:drawing>
              <wp:anchor distT="0" distB="0" distL="114300" distR="114300" simplePos="0" relativeHeight="251659264" behindDoc="0" locked="0" layoutInCell="1" allowOverlap="1">
                <wp:simplePos x="0" y="0"/>
                <wp:positionH relativeFrom="column">
                  <wp:posOffset>705485</wp:posOffset>
                </wp:positionH>
                <wp:positionV relativeFrom="paragraph">
                  <wp:posOffset>288925</wp:posOffset>
                </wp:positionV>
                <wp:extent cx="4274820" cy="5269865"/>
                <wp:effectExtent l="12700" t="12700" r="17780" b="13335"/>
                <wp:wrapNone/>
                <wp:docPr id="35" name="组合 35"/>
                <wp:cNvGraphicFramePr/>
                <a:graphic xmlns:a="http://schemas.openxmlformats.org/drawingml/2006/main">
                  <a:graphicData uri="http://schemas.microsoft.com/office/word/2010/wordprocessingGroup">
                    <wpg:wgp>
                      <wpg:cNvGrpSpPr/>
                      <wpg:grpSpPr>
                        <a:xfrm>
                          <a:off x="0" y="0"/>
                          <a:ext cx="4274820" cy="5269865"/>
                          <a:chOff x="10171" y="175477"/>
                          <a:chExt cx="6732" cy="8299"/>
                        </a:xfrm>
                      </wpg:grpSpPr>
                      <wps:wsp>
                        <wps:cNvPr id="14" name="矩形 14"/>
                        <wps:cNvSpPr/>
                        <wps:spPr>
                          <a:xfrm>
                            <a:off x="12575" y="175477"/>
                            <a:ext cx="2016" cy="480"/>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rPr>
                              </w:pPr>
                              <w:r>
                                <w:rPr>
                                  <w:rFonts w:hint="eastAsia" w:ascii="方正仿宋_GBK" w:hAnsi="方正仿宋_GBK" w:eastAsia="方正仿宋_GBK" w:cs="方正仿宋_GBK"/>
                                  <w:kern w:val="2"/>
                                  <w:sz w:val="21"/>
                                  <w:szCs w:val="22"/>
                                  <w:lang w:val="en-US" w:eastAsia="zh-CN" w:bidi="ar"/>
                                </w:rPr>
                                <w:t>项目经理</w:t>
                              </w:r>
                            </w:p>
                          </w:txbxContent>
                        </wps:txbx>
                        <wps:bodyPr upright="1"/>
                      </wps:wsp>
                      <wps:wsp>
                        <wps:cNvPr id="15" name="矩形 15"/>
                        <wps:cNvSpPr/>
                        <wps:spPr>
                          <a:xfrm>
                            <a:off x="10891" y="177968"/>
                            <a:ext cx="485" cy="3076"/>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w:t>
                              </w: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工程技术部</w:t>
                              </w:r>
                            </w:p>
                          </w:txbxContent>
                        </wps:txbx>
                        <wps:bodyPr upright="1"/>
                      </wps:wsp>
                      <wps:wsp>
                        <wps:cNvPr id="16" name="矩形 16"/>
                        <wps:cNvSpPr/>
                        <wps:spPr>
                          <a:xfrm>
                            <a:off x="15787" y="177992"/>
                            <a:ext cx="496" cy="3087"/>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right"/>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综合办公室</w:t>
                              </w:r>
                            </w:p>
                            <w:p>
                              <w:pPr>
                                <w:keepNext w:val="0"/>
                                <w:keepLines w:val="0"/>
                                <w:widowControl w:val="0"/>
                                <w:suppressLineNumbers w:val="0"/>
                                <w:spacing w:before="0" w:beforeAutospacing="0" w:after="0" w:afterAutospacing="0"/>
                                <w:ind w:left="0" w:right="0"/>
                                <w:jc w:val="right"/>
                                <w:rPr>
                                  <w:rFonts w:hint="eastAsia" w:ascii="方正仿宋_GBK" w:hAnsi="方正仿宋_GBK" w:eastAsia="方正仿宋_GBK" w:cs="方正仿宋_GBK"/>
                                  <w:kern w:val="2"/>
                                  <w:sz w:val="21"/>
                                  <w:szCs w:val="22"/>
                                  <w:lang w:val="en-US" w:eastAsia="zh-CN" w:bidi="ar"/>
                                </w:rPr>
                              </w:pPr>
                            </w:p>
                          </w:txbxContent>
                        </wps:txbx>
                        <wps:bodyPr upright="1"/>
                      </wps:wsp>
                      <wps:wsp>
                        <wps:cNvPr id="17" name="肘形连接符 17"/>
                        <wps:cNvCnPr/>
                        <wps:spPr>
                          <a:xfrm rot="5400000" flipH="1" flipV="1">
                            <a:off x="12059" y="175046"/>
                            <a:ext cx="607" cy="2429"/>
                          </a:xfrm>
                          <a:prstGeom prst="bentConnector3">
                            <a:avLst>
                              <a:gd name="adj1" fmla="val 50000"/>
                            </a:avLst>
                          </a:prstGeom>
                          <a:ln w="12700" cap="flat" cmpd="sng">
                            <a:solidFill>
                              <a:srgbClr val="000000"/>
                            </a:solidFill>
                            <a:prstDash val="solid"/>
                            <a:miter/>
                            <a:headEnd type="none" w="med" len="med"/>
                            <a:tailEnd type="none" w="med" len="med"/>
                          </a:ln>
                        </wps:spPr>
                        <wps:bodyPr/>
                      </wps:wsp>
                      <wps:wsp>
                        <wps:cNvPr id="18" name="肘形连接符 18"/>
                        <wps:cNvCnPr/>
                        <wps:spPr>
                          <a:xfrm rot="-5400000" flipV="1">
                            <a:off x="14480" y="175067"/>
                            <a:ext cx="603" cy="2407"/>
                          </a:xfrm>
                          <a:prstGeom prst="bentConnector3">
                            <a:avLst>
                              <a:gd name="adj1" fmla="val 50000"/>
                            </a:avLst>
                          </a:prstGeom>
                          <a:ln w="12700" cap="flat" cmpd="sng">
                            <a:solidFill>
                              <a:srgbClr val="000000"/>
                            </a:solidFill>
                            <a:prstDash val="solid"/>
                            <a:miter/>
                            <a:headEnd type="none" w="med" len="med"/>
                            <a:tailEnd type="none" w="med" len="med"/>
                          </a:ln>
                        </wps:spPr>
                        <wps:bodyPr/>
                      </wps:wsp>
                      <wps:wsp>
                        <wps:cNvPr id="22" name="直接连接符 22"/>
                        <wps:cNvCnPr/>
                        <wps:spPr>
                          <a:xfrm flipV="1">
                            <a:off x="11151" y="177481"/>
                            <a:ext cx="4848" cy="12"/>
                          </a:xfrm>
                          <a:prstGeom prst="line">
                            <a:avLst/>
                          </a:prstGeom>
                          <a:ln w="12700" cap="flat" cmpd="sng">
                            <a:solidFill>
                              <a:srgbClr val="000000"/>
                            </a:solidFill>
                            <a:prstDash val="solid"/>
                            <a:round/>
                            <a:headEnd type="none" w="med" len="med"/>
                            <a:tailEnd type="none" w="med" len="med"/>
                          </a:ln>
                        </wps:spPr>
                        <wps:bodyPr upright="1"/>
                      </wps:wsp>
                      <wps:wsp>
                        <wps:cNvPr id="23" name="直接连接符 23"/>
                        <wps:cNvCnPr/>
                        <wps:spPr>
                          <a:xfrm flipV="1">
                            <a:off x="11133" y="181581"/>
                            <a:ext cx="4920" cy="12"/>
                          </a:xfrm>
                          <a:prstGeom prst="line">
                            <a:avLst/>
                          </a:prstGeom>
                          <a:ln w="12700" cap="flat" cmpd="sng">
                            <a:solidFill>
                              <a:srgbClr val="000000"/>
                            </a:solidFill>
                            <a:prstDash val="solid"/>
                            <a:round/>
                            <a:headEnd type="none" w="med" len="med"/>
                            <a:tailEnd type="none" w="med" len="med"/>
                          </a:ln>
                        </wps:spPr>
                        <wps:bodyPr upright="1"/>
                      </wps:wsp>
                      <wps:wsp>
                        <wps:cNvPr id="24" name="流程图: 过程 24"/>
                        <wps:cNvSpPr/>
                        <wps:spPr>
                          <a:xfrm>
                            <a:off x="14922" y="177976"/>
                            <a:ext cx="504" cy="3096"/>
                          </a:xfrm>
                          <a:prstGeom prst="flowChartProcess">
                            <a:avLst/>
                          </a:prstGeom>
                          <a:solidFill>
                            <a:srgbClr val="FFFFFF"/>
                          </a:solidFill>
                          <a:ln w="19050" cap="flat" cmpd="sng">
                            <a:solidFill>
                              <a:srgbClr val="000000"/>
                            </a:solidFill>
                            <a:prstDash val="solid"/>
                            <a:miter/>
                            <a:headEnd type="none" w="med" len="med"/>
                            <a:tailEnd type="none" w="med" len="med"/>
                          </a:ln>
                        </wps:spPr>
                        <wps:txbx>
                          <w:txbxContent>
                            <w:p>
                              <w:pPr>
                                <w:rPr>
                                  <w:rFonts w:hint="eastAsia" w:ascii="方正仿宋_GBK" w:hAnsi="方正仿宋_GBK" w:eastAsia="方正仿宋_GBK" w:cs="方正仿宋_GBK"/>
                                  <w:sz w:val="24"/>
                                  <w:szCs w:val="28"/>
                                  <w:lang w:val="en-US" w:eastAsia="zh-CN"/>
                                </w:rPr>
                              </w:pPr>
                              <w:r>
                                <w:rPr>
                                  <w:rFonts w:hint="eastAsia" w:ascii="方正仿宋_GBK" w:hAnsi="方正仿宋_GBK" w:eastAsia="方正仿宋_GBK" w:cs="方正仿宋_GBK"/>
                                  <w:sz w:val="24"/>
                                  <w:szCs w:val="28"/>
                                  <w:lang w:val="en-US" w:eastAsia="zh-CN"/>
                                </w:rPr>
                                <w:t xml:space="preserve">   </w:t>
                              </w:r>
                            </w:p>
                            <w:p>
                              <w:pPr>
                                <w:rPr>
                                  <w:rFonts w:hint="default" w:ascii="方正仿宋_GBK" w:hAnsi="方正仿宋_GBK" w:eastAsia="方正仿宋_GBK" w:cs="方正仿宋_GBK"/>
                                  <w:sz w:val="24"/>
                                  <w:szCs w:val="28"/>
                                  <w:lang w:val="en-US" w:eastAsia="zh-CN"/>
                                </w:rPr>
                              </w:pPr>
                              <w:r>
                                <w:rPr>
                                  <w:rFonts w:hint="eastAsia" w:ascii="方正仿宋_GBK" w:hAnsi="方正仿宋_GBK" w:eastAsia="方正仿宋_GBK" w:cs="方正仿宋_GBK"/>
                                  <w:sz w:val="21"/>
                                  <w:szCs w:val="21"/>
                                  <w:lang w:val="en-US" w:eastAsia="zh-CN"/>
                                </w:rPr>
                                <w:t>试验室</w:t>
                              </w:r>
                            </w:p>
                          </w:txbxContent>
                        </wps:txbx>
                        <wps:bodyPr upright="1"/>
                      </wps:wsp>
                      <wps:wsp>
                        <wps:cNvPr id="25" name="直接连接符 25"/>
                        <wps:cNvCnPr/>
                        <wps:spPr>
                          <a:xfrm flipV="1">
                            <a:off x="15162" y="177508"/>
                            <a:ext cx="1" cy="456"/>
                          </a:xfrm>
                          <a:prstGeom prst="line">
                            <a:avLst/>
                          </a:prstGeom>
                          <a:ln w="12700" cap="flat" cmpd="sng">
                            <a:solidFill>
                              <a:srgbClr val="000000"/>
                            </a:solidFill>
                            <a:prstDash val="solid"/>
                            <a:headEnd type="none" w="med" len="med"/>
                            <a:tailEnd type="none" w="med" len="med"/>
                          </a:ln>
                        </wps:spPr>
                        <wps:bodyPr upright="1"/>
                      </wps:wsp>
                      <wpg:grpSp>
                        <wpg:cNvPr id="29" name="组合 29"/>
                        <wpg:cNvGrpSpPr/>
                        <wpg:grpSpPr>
                          <a:xfrm>
                            <a:off x="10171" y="176560"/>
                            <a:ext cx="6732" cy="492"/>
                            <a:chOff x="4506" y="176560"/>
                            <a:chExt cx="6732" cy="492"/>
                          </a:xfrm>
                        </wpg:grpSpPr>
                        <wps:wsp>
                          <wps:cNvPr id="26" name="矩形 26"/>
                          <wps:cNvSpPr/>
                          <wps:spPr>
                            <a:xfrm>
                              <a:off x="4506" y="176564"/>
                              <a:ext cx="1968" cy="480"/>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项目总工</w:t>
                                </w:r>
                              </w:p>
                            </w:txbxContent>
                          </wps:txbx>
                          <wps:bodyPr upright="1"/>
                        </wps:wsp>
                        <wps:wsp>
                          <wps:cNvPr id="27" name="矩形 27"/>
                          <wps:cNvSpPr/>
                          <wps:spPr>
                            <a:xfrm>
                              <a:off x="9402" y="176560"/>
                              <a:ext cx="1836" cy="480"/>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副经理</w:t>
                                </w:r>
                              </w:p>
                            </w:txbxContent>
                          </wps:txbx>
                          <wps:bodyPr upright="1"/>
                        </wps:wsp>
                        <wps:wsp>
                          <wps:cNvPr id="28" name="流程图: 过程 28"/>
                          <wps:cNvSpPr/>
                          <wps:spPr>
                            <a:xfrm>
                              <a:off x="6917" y="176560"/>
                              <a:ext cx="1980" cy="492"/>
                            </a:xfrm>
                            <a:prstGeom prst="flowChartProcess">
                              <a:avLst/>
                            </a:prstGeom>
                            <a:solidFill>
                              <a:srgbClr val="FFFFFF"/>
                            </a:solidFill>
                            <a:ln w="19050" cap="flat" cmpd="sng">
                              <a:solidFill>
                                <a:srgbClr val="000000"/>
                              </a:solidFill>
                              <a:prstDash val="solid"/>
                              <a:miter/>
                              <a:headEnd type="none" w="med" len="med"/>
                              <a:tailEnd type="none" w="med" len="med"/>
                            </a:ln>
                          </wps:spPr>
                          <wps:txbx>
                            <w:txbxContent>
                              <w:p>
                                <w:pPr>
                                  <w:ind w:firstLine="420" w:firstLineChars="200"/>
                                  <w:rPr>
                                    <w:rFonts w:hint="eastAsia" w:ascii="方正仿宋_GBK" w:hAnsi="方正仿宋_GBK" w:eastAsia="方正仿宋_GBK" w:cs="方正仿宋_GBK"/>
                                    <w:lang w:val="en-US" w:eastAsia="zh-CN"/>
                                  </w:rPr>
                                </w:pPr>
                                <w:r>
                                  <w:rPr>
                                    <w:rFonts w:hint="eastAsia" w:ascii="方正仿宋_GBK" w:hAnsi="方正仿宋_GBK" w:eastAsia="方正仿宋_GBK" w:cs="方正仿宋_GBK"/>
                                    <w:lang w:val="en-US" w:eastAsia="zh-CN"/>
                                  </w:rPr>
                                  <w:t>安全总监</w:t>
                                </w:r>
                              </w:p>
                            </w:txbxContent>
                          </wps:txbx>
                          <wps:bodyPr upright="1"/>
                        </wps:wsp>
                      </wpg:grpSp>
                      <wps:wsp>
                        <wps:cNvPr id="30" name="矩形 30"/>
                        <wps:cNvSpPr/>
                        <wps:spPr>
                          <a:xfrm>
                            <a:off x="12631" y="183296"/>
                            <a:ext cx="1836" cy="480"/>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default" w:cs="Times New Roman"/>
                                  <w:szCs w:val="21"/>
                                  <w:lang w:val="en-US"/>
                                </w:rPr>
                              </w:pPr>
                              <w:r>
                                <w:rPr>
                                  <w:rFonts w:hint="eastAsia" w:ascii="方正仿宋_GBK" w:hAnsi="方正仿宋_GBK" w:eastAsia="方正仿宋_GBK" w:cs="方正仿宋_GBK"/>
                                  <w:kern w:val="2"/>
                                  <w:sz w:val="21"/>
                                  <w:szCs w:val="21"/>
                                  <w:lang w:val="en-US" w:eastAsia="zh-CN" w:bidi="ar"/>
                                </w:rPr>
                                <w:t>作业人员</w:t>
                              </w:r>
                            </w:p>
                          </w:txbxContent>
                        </wps:txbx>
                        <wps:bodyPr upright="1"/>
                      </wps:wsp>
                      <wps:wsp>
                        <wps:cNvPr id="31" name="矩形 31"/>
                        <wps:cNvSpPr/>
                        <wps:spPr>
                          <a:xfrm>
                            <a:off x="12655" y="182204"/>
                            <a:ext cx="1836" cy="480"/>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default" w:cs="Times New Roman"/>
                                  <w:szCs w:val="21"/>
                                  <w:lang w:val="en-US"/>
                                </w:rPr>
                              </w:pPr>
                              <w:r>
                                <w:rPr>
                                  <w:rFonts w:hint="eastAsia" w:ascii="方正仿宋_GBK" w:hAnsi="方正仿宋_GBK" w:eastAsia="方正仿宋_GBK" w:cs="方正仿宋_GBK"/>
                                  <w:kern w:val="2"/>
                                  <w:sz w:val="21"/>
                                  <w:szCs w:val="21"/>
                                  <w:lang w:val="en-US" w:eastAsia="zh-CN" w:bidi="ar"/>
                                </w:rPr>
                                <w:t>作业队（班组)</w:t>
                              </w:r>
                            </w:p>
                          </w:txbxContent>
                        </wps:txbx>
                        <wps:bodyPr upright="1"/>
                      </wps:wsp>
                      <wpg:grpSp>
                        <wpg:cNvPr id="34" name="组合 34"/>
                        <wpg:cNvGrpSpPr/>
                        <wpg:grpSpPr>
                          <a:xfrm>
                            <a:off x="12439" y="177523"/>
                            <a:ext cx="1148" cy="3531"/>
                            <a:chOff x="8360" y="177523"/>
                            <a:chExt cx="1148" cy="3531"/>
                          </a:xfrm>
                        </wpg:grpSpPr>
                        <wps:wsp>
                          <wps:cNvPr id="32" name="矩形 32"/>
                          <wps:cNvSpPr/>
                          <wps:spPr>
                            <a:xfrm>
                              <a:off x="8360" y="177968"/>
                              <a:ext cx="496" cy="3087"/>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w:t>
                                </w:r>
                                <w:r>
                                  <w:rPr>
                                    <w:rFonts w:hint="eastAsia" w:ascii="方正仿宋_GBK" w:hAnsi="方正仿宋_GBK" w:eastAsia="方正仿宋_GBK" w:cs="方正仿宋_GBK"/>
                                    <w:kern w:val="2"/>
                                    <w:sz w:val="21"/>
                                    <w:szCs w:val="22"/>
                                    <w:highlight w:val="none"/>
                                    <w:lang w:val="en-US" w:eastAsia="zh-CN" w:bidi="ar"/>
                                  </w:rPr>
                                  <w:t>财务部</w:t>
                                </w:r>
                              </w:p>
                            </w:txbxContent>
                          </wps:txbx>
                          <wps:bodyPr upright="1"/>
                        </wps:wsp>
                        <wps:wsp>
                          <wps:cNvPr id="33" name="直接连接符 33"/>
                          <wps:cNvCnPr/>
                          <wps:spPr>
                            <a:xfrm flipH="1" flipV="1">
                              <a:off x="9504" y="177523"/>
                              <a:ext cx="4" cy="459"/>
                            </a:xfrm>
                            <a:prstGeom prst="line">
                              <a:avLst/>
                            </a:prstGeom>
                            <a:ln w="12700" cap="flat" cmpd="sng">
                              <a:solidFill>
                                <a:srgbClr val="000000"/>
                              </a:solidFill>
                              <a:prstDash val="solid"/>
                              <a:round/>
                              <a:headEnd type="none" w="med" len="med"/>
                              <a:tailEnd type="none" w="med" len="med"/>
                            </a:ln>
                          </wps:spPr>
                          <wps:bodyPr upright="1"/>
                        </wps:wsp>
                      </wpg:grpSp>
                    </wpg:wgp>
                  </a:graphicData>
                </a:graphic>
              </wp:anchor>
            </w:drawing>
          </mc:Choice>
          <mc:Fallback>
            <w:pict>
              <v:group id="_x0000_s1026" o:spid="_x0000_s1026" o:spt="203" style="position:absolute;left:0pt;margin-left:55.55pt;margin-top:22.75pt;height:414.95pt;width:336.6pt;z-index:251659264;mso-width-relative:page;mso-height-relative:page;" coordorigin="10171,175477" coordsize="6732,8299" o:gfxdata="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">
                <o:lock v:ext="edit" aspectratio="f"/>
                <v:rect id="_x0000_s1026" o:spid="_x0000_s1026" o:spt="1" style="position:absolute;left:12575;top:175477;height:480;width:2016;" fillcolor="#FFFFFF" filled="t" stroked="t" coordsize="21600,21600" o:gfxdata="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1dVjugAAANsA&#10;AAAPAAAAAAAAAAEAIAAAACIAAABkcnMvZG93bnJldi54bWxQSwECFAAUAAAACACHTuJAMy8FnjsA&#10;AAA5AAAAEAAAAAAAAAABACAAAAAJAQAAZHJzL3NoYXBleG1sLnhtbFBLBQYAAAAABgAGAFsBAACz&#10;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rPr>
                        </w:pPr>
                        <w:r>
                          <w:rPr>
                            <w:rFonts w:hint="eastAsia" w:ascii="方正仿宋_GBK" w:hAnsi="方正仿宋_GBK" w:eastAsia="方正仿宋_GBK" w:cs="方正仿宋_GBK"/>
                            <w:kern w:val="2"/>
                            <w:sz w:val="21"/>
                            <w:szCs w:val="22"/>
                            <w:lang w:val="en-US" w:eastAsia="zh-CN" w:bidi="ar"/>
                          </w:rPr>
                          <w:t>项目经理</w:t>
                        </w:r>
                      </w:p>
                    </w:txbxContent>
                  </v:textbox>
                </v:rect>
                <v:rect id="_x0000_s1026" o:spid="_x0000_s1026" o:spt="1" style="position:absolute;left:10891;top:177968;height:3076;width:485;" fillcolor="#FFFFFF" filled="t" stroked="t" coordsize="21600,21600" o:gfxdata="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mXD4ugAAANsA&#10;AAAPAAAAAAAAAAEAIAAAACIAAABkcnMvZG93bnJldi54bWxQSwECFAAUAAAACACHTuJAMy8FnjsA&#10;AAA5AAAAEAAAAAAAAAABACAAAAAJAQAAZHJzL3NoYXBleG1sLnhtbFBLBQYAAAAABgAGAFsBAACz&#10;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w:t>
                        </w: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工程技术部</w:t>
                        </w:r>
                      </w:p>
                    </w:txbxContent>
                  </v:textbox>
                </v:rect>
                <v:rect id="_x0000_s1026" o:spid="_x0000_s1026" o:spt="1" style="position:absolute;left:15787;top:177992;height:3087;width:496;" fillcolor="#FFFFFF" filled="t" stroked="t" coordsize="21600,21600" o:gfxdata="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S+6PugAAANsA&#10;AAAPAAAAAAAAAAEAIAAAACIAAABkcnMvZG93bnJldi54bWxQSwECFAAUAAAACACHTuJAMy8FnjsA&#10;AAA5AAAAEAAAAAAAAAABACAAAAAJAQAAZHJzL3NoYXBleG1sLnhtbFBLBQYAAAAABgAGAFsBAACz&#10;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right"/>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综合办公室</w:t>
                        </w:r>
                      </w:p>
                      <w:p>
                        <w:pPr>
                          <w:keepNext w:val="0"/>
                          <w:keepLines w:val="0"/>
                          <w:widowControl w:val="0"/>
                          <w:suppressLineNumbers w:val="0"/>
                          <w:spacing w:before="0" w:beforeAutospacing="0" w:after="0" w:afterAutospacing="0"/>
                          <w:ind w:left="0" w:right="0"/>
                          <w:jc w:val="right"/>
                          <w:rPr>
                            <w:rFonts w:hint="eastAsia" w:ascii="方正仿宋_GBK" w:hAnsi="方正仿宋_GBK" w:eastAsia="方正仿宋_GBK" w:cs="方正仿宋_GBK"/>
                            <w:kern w:val="2"/>
                            <w:sz w:val="21"/>
                            <w:szCs w:val="22"/>
                            <w:lang w:val="en-US" w:eastAsia="zh-CN" w:bidi="ar"/>
                          </w:rPr>
                        </w:pPr>
                      </w:p>
                    </w:txbxContent>
                  </v:textbox>
                </v:rect>
                <v:shape id="_x0000_s1026" o:spid="_x0000_s1026" o:spt="34" type="#_x0000_t34" style="position:absolute;left:12059;top:175046;flip:x y;height:2429;width:607;rotation:5898240f;" filled="f" stroked="t" coordsize="21600,21600" o:gfxdata="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aE3bugAAANsA&#10;AAAPAAAAAAAAAAEAIAAAACIAAABkcnMvZG93bnJldi54bWxQSwECFAAUAAAACACHTuJAMy8FnjsA&#10;AAA5AAAAEAAAAAAAAAABACAAAAAJAQAAZHJzL3NoYXBleG1sLnhtbFBLBQYAAAAABgAGAFsBAACz&#10;AwAAAAA=&#10;" adj="10800">
                  <v:fill on="f" focussize="0,0"/>
                  <v:stroke weight="1pt" color="#000000" joinstyle="miter"/>
                  <v:imagedata o:title=""/>
                  <o:lock v:ext="edit" aspectratio="f"/>
                </v:shape>
                <v:shape id="_x0000_s1026" o:spid="_x0000_s1026" o:spt="34" type="#_x0000_t34" style="position:absolute;left:14480;top:175067;flip:y;height:2407;width:603;rotation:5898240f;" filled="f" stroked="t" coordsize="21600,21600" o:gfxdata="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FA7VvQAA&#10;ANsAAAAPAAAAAAAAAAEAIAAAACIAAABkcnMvZG93bnJldi54bWxQSwECFAAUAAAACACHTuJAMy8F&#10;njsAAAA5AAAAEAAAAAAAAAABACAAAAAMAQAAZHJzL3NoYXBleG1sLnhtbFBLBQYAAAAABgAGAFsB&#10;AAC2AwAAAAA=&#10;" adj="10800">
                  <v:fill on="f" focussize="0,0"/>
                  <v:stroke weight="1pt" color="#000000" joinstyle="miter"/>
                  <v:imagedata o:title=""/>
                  <o:lock v:ext="edit" aspectratio="f"/>
                </v:shape>
                <v:line id="_x0000_s1026" o:spid="_x0000_s1026" o:spt="20" style="position:absolute;left:11151;top:177481;flip:y;height:12;width:4848;" filled="f" stroked="t" coordsize="21600,21600" o:gfxdata="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7RzJ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line id="_x0000_s1026" o:spid="_x0000_s1026" o:spt="20" style="position:absolute;left:11133;top:181581;flip:y;height:12;width:4920;" filled="f" stroked="t" coordsize="21600,21600" o:gfxdata="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oblS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shape id="_x0000_s1026" o:spid="_x0000_s1026" o:spt="109" type="#_x0000_t109" style="position:absolute;left:14922;top:177976;height:3096;width:504;" fillcolor="#FFFFFF" filled="t" stroked="t" coordsize="21600,21600" o:gfxdata="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cPlOL4A&#10;AADbAAAADwAAAAAAAAABACAAAAAiAAAAZHJzL2Rvd25yZXYueG1sUEsBAhQAFAAAAAgAh07iQDMv&#10;BZ47AAAAOQAAABAAAAAAAAAAAQAgAAAADQEAAGRycy9zaGFwZXhtbC54bWxQSwUGAAAAAAYABgBb&#10;AQAAtwMAAAAA&#10;">
                  <v:fill on="t" focussize="0,0"/>
                  <v:stroke weight="1.5pt" color="#000000" joinstyle="miter"/>
                  <v:imagedata o:title=""/>
                  <o:lock v:ext="edit" aspectratio="f"/>
                  <v:textbox>
                    <w:txbxContent>
                      <w:p>
                        <w:pPr>
                          <w:rPr>
                            <w:rFonts w:hint="eastAsia" w:ascii="方正仿宋_GBK" w:hAnsi="方正仿宋_GBK" w:eastAsia="方正仿宋_GBK" w:cs="方正仿宋_GBK"/>
                            <w:sz w:val="24"/>
                            <w:szCs w:val="28"/>
                            <w:lang w:val="en-US" w:eastAsia="zh-CN"/>
                          </w:rPr>
                        </w:pPr>
                        <w:r>
                          <w:rPr>
                            <w:rFonts w:hint="eastAsia" w:ascii="方正仿宋_GBK" w:hAnsi="方正仿宋_GBK" w:eastAsia="方正仿宋_GBK" w:cs="方正仿宋_GBK"/>
                            <w:sz w:val="24"/>
                            <w:szCs w:val="28"/>
                            <w:lang w:val="en-US" w:eastAsia="zh-CN"/>
                          </w:rPr>
                          <w:t xml:space="preserve">   </w:t>
                        </w:r>
                      </w:p>
                      <w:p>
                        <w:pPr>
                          <w:rPr>
                            <w:rFonts w:hint="default" w:ascii="方正仿宋_GBK" w:hAnsi="方正仿宋_GBK" w:eastAsia="方正仿宋_GBK" w:cs="方正仿宋_GBK"/>
                            <w:sz w:val="24"/>
                            <w:szCs w:val="28"/>
                            <w:lang w:val="en-US" w:eastAsia="zh-CN"/>
                          </w:rPr>
                        </w:pPr>
                        <w:r>
                          <w:rPr>
                            <w:rFonts w:hint="eastAsia" w:ascii="方正仿宋_GBK" w:hAnsi="方正仿宋_GBK" w:eastAsia="方正仿宋_GBK" w:cs="方正仿宋_GBK"/>
                            <w:sz w:val="21"/>
                            <w:szCs w:val="21"/>
                            <w:lang w:val="en-US" w:eastAsia="zh-CN"/>
                          </w:rPr>
                          <w:t>试验室</w:t>
                        </w:r>
                      </w:p>
                    </w:txbxContent>
                  </v:textbox>
                </v:shape>
                <v:line id="_x0000_s1026" o:spid="_x0000_s1026" o:spt="20" style="position:absolute;left:15162;top:177508;flip:y;height:456;width:1;" filled="f" stroked="t" coordsize="21600,21600" o:gfxdata="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BIS9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group id="_x0000_s1026" o:spid="_x0000_s1026" o:spt="203" style="position:absolute;left:10171;top:176560;height:492;width:6732;" coordorigin="4506,176560" coordsize="6732,492" o:gfxdata="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tWPI1vwAAANsAAAAPAAAAAAAAAAEAIAAAACIAAABkcnMvZG93bnJldi54&#10;bWxQSwECFAAUAAAACACHTuJAMy8FnjsAAAA5AAAAFQAAAAAAAAABACAAAAAOAQAAZHJzL2dyb3Vw&#10;c2hhcGV4bWwueG1sUEsFBgAAAAAGAAYAYAEAAMsDAAAAAA==&#10;">
                  <o:lock v:ext="edit" aspectratio="f"/>
                  <v:rect id="_x0000_s1026" o:spid="_x0000_s1026" o:spt="1" style="position:absolute;left:4506;top:176564;height:480;width:1968;" fillcolor="#FFFFFF" filled="t" stroked="t" coordsize="21600,21600" o:gfxdata="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JyQyvQAA&#10;ANsAAAAPAAAAAAAAAAEAIAAAACIAAABkcnMvZG93bnJldi54bWxQSwECFAAUAAAACACHTuJAMy8F&#10;njsAAAA5AAAAEAAAAAAAAAABACAAAAAMAQAAZHJzL3NoYXBleG1sLnhtbFBLBQYAAAAABgAGAFsB&#10;AAC2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项目总工</w:t>
                          </w:r>
                        </w:p>
                      </w:txbxContent>
                    </v:textbox>
                  </v:rect>
                  <v:rect id="_x0000_s1026" o:spid="_x0000_s1026" o:spt="1" style="position:absolute;left:9402;top:176560;height:480;width:1836;" fillcolor="#FFFFFF" filled="t" stroked="t" coordsize="21600,21600" o:gfxdata="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a4GpvQAA&#10;ANsAAAAPAAAAAAAAAAEAIAAAACIAAABkcnMvZG93bnJldi54bWxQSwECFAAUAAAACACHTuJAMy8F&#10;njsAAAA5AAAAEAAAAAAAAAABACAAAAAMAQAAZHJzL3NoYXBleG1sLnhtbFBLBQYAAAAABgAGAFsB&#10;AAC2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副经理</w:t>
                          </w:r>
                        </w:p>
                      </w:txbxContent>
                    </v:textbox>
                  </v:rect>
                  <v:shape id="_x0000_s1026" o:spid="_x0000_s1026" o:spt="109" type="#_x0000_t109" style="position:absolute;left:6917;top:176560;height:492;width:1980;" fillcolor="#FFFFFF" filled="t" stroked="t" coordsize="21600,21600" o:gfxdata="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Mju89ugAAANsA&#10;AAAPAAAAAAAAAAEAIAAAACIAAABkcnMvZG93bnJldi54bWxQSwECFAAUAAAACACHTuJAMy8FnjsA&#10;AAA5AAAAEAAAAAAAAAABACAAAAAJAQAAZHJzL3NoYXBleG1sLnhtbFBLBQYAAAAABgAGAFsBAACz&#10;AwAAAAA=&#10;">
                    <v:fill on="t" focussize="0,0"/>
                    <v:stroke weight="1.5pt" color="#000000" joinstyle="miter"/>
                    <v:imagedata o:title=""/>
                    <o:lock v:ext="edit" aspectratio="f"/>
                    <v:textbox>
                      <w:txbxContent>
                        <w:p>
                          <w:pPr>
                            <w:ind w:firstLine="420" w:firstLineChars="200"/>
                            <w:rPr>
                              <w:rFonts w:hint="eastAsia" w:ascii="方正仿宋_GBK" w:hAnsi="方正仿宋_GBK" w:eastAsia="方正仿宋_GBK" w:cs="方正仿宋_GBK"/>
                              <w:lang w:val="en-US" w:eastAsia="zh-CN"/>
                            </w:rPr>
                          </w:pPr>
                          <w:r>
                            <w:rPr>
                              <w:rFonts w:hint="eastAsia" w:ascii="方正仿宋_GBK" w:hAnsi="方正仿宋_GBK" w:eastAsia="方正仿宋_GBK" w:cs="方正仿宋_GBK"/>
                              <w:lang w:val="en-US" w:eastAsia="zh-CN"/>
                            </w:rPr>
                            <w:t>安全总监</w:t>
                          </w:r>
                        </w:p>
                      </w:txbxContent>
                    </v:textbox>
                  </v:shape>
                </v:group>
                <v:rect id="_x0000_s1026" o:spid="_x0000_s1026" o:spt="1" style="position:absolute;left:12631;top:183296;height:480;width:1836;" fillcolor="#FFFFFF" filled="t" stroked="t" coordsize="21600,21600" o:gfxdata="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JbjwC5AAAA2wAA&#10;AA8AAAAAAAAAAQAgAAAAIgAAAGRycy9kb3ducmV2LnhtbFBLAQIUABQAAAAIAIdO4kAzLwWeOwAA&#10;ADkAAAAQAAAAAAAAAAEAIAAAAAgBAABkcnMvc2hhcGV4bWwueG1sUEsFBgAAAAAGAAYAWwEAALID&#10;A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default" w:cs="Times New Roman"/>
                            <w:szCs w:val="21"/>
                            <w:lang w:val="en-US"/>
                          </w:rPr>
                        </w:pPr>
                        <w:r>
                          <w:rPr>
                            <w:rFonts w:hint="eastAsia" w:ascii="方正仿宋_GBK" w:hAnsi="方正仿宋_GBK" w:eastAsia="方正仿宋_GBK" w:cs="方正仿宋_GBK"/>
                            <w:kern w:val="2"/>
                            <w:sz w:val="21"/>
                            <w:szCs w:val="21"/>
                            <w:lang w:val="en-US" w:eastAsia="zh-CN" w:bidi="ar"/>
                          </w:rPr>
                          <w:t>作业人员</w:t>
                        </w:r>
                      </w:p>
                    </w:txbxContent>
                  </v:textbox>
                </v:rect>
                <v:rect id="_x0000_s1026" o:spid="_x0000_s1026" o:spt="1" style="position:absolute;left:12655;top:182204;height:480;width:1836;" fillcolor="#FFFFFF" filled="t" stroked="t" coordsize="21600,21600" o:gfxdata="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FyqbvQAA&#10;ANsAAAAPAAAAAAAAAAEAIAAAACIAAABkcnMvZG93bnJldi54bWxQSwECFAAUAAAACACHTuJAMy8F&#10;njsAAAA5AAAAEAAAAAAAAAABACAAAAAMAQAAZHJzL3NoYXBleG1sLnhtbFBLBQYAAAAABgAGAFsB&#10;AAC2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default" w:cs="Times New Roman"/>
                            <w:szCs w:val="21"/>
                            <w:lang w:val="en-US"/>
                          </w:rPr>
                        </w:pPr>
                        <w:r>
                          <w:rPr>
                            <w:rFonts w:hint="eastAsia" w:ascii="方正仿宋_GBK" w:hAnsi="方正仿宋_GBK" w:eastAsia="方正仿宋_GBK" w:cs="方正仿宋_GBK"/>
                            <w:kern w:val="2"/>
                            <w:sz w:val="21"/>
                            <w:szCs w:val="21"/>
                            <w:lang w:val="en-US" w:eastAsia="zh-CN" w:bidi="ar"/>
                          </w:rPr>
                          <w:t>作业队（班组)</w:t>
                        </w:r>
                      </w:p>
                    </w:txbxContent>
                  </v:textbox>
                </v:rect>
                <v:group id="_x0000_s1026" o:spid="_x0000_s1026" o:spt="203" style="position:absolute;left:12439;top:177523;height:3531;width:1148;" coordorigin="8360,177523" coordsize="1148,3531" o:gfxdata="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xoDLdr0AAADbAAAADwAAAAAAAAABACAAAAAiAAAAZHJzL2Rvd25yZXYueG1s&#10;UEsBAhQAFAAAAAgAh07iQDMvBZ47AAAAOQAAABUAAAAAAAAAAQAgAAAADAEAAGRycy9ncm91cHNo&#10;YXBleG1sLnhtbFBLBQYAAAAABgAGAGABAADJAwAAAAA=&#10;">
                  <o:lock v:ext="edit" aspectratio="f"/>
                  <v:rect id="_x0000_s1026" o:spid="_x0000_s1026" o:spt="1" style="position:absolute;left:8360;top:177968;height:3087;width:496;" fillcolor="#FFFFFF" filled="t" stroked="t" coordsize="21600,21600" o:gfxdata="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xbTsvQAA&#10;ANsAAAAPAAAAAAAAAAEAIAAAACIAAABkcnMvZG93bnJldi54bWxQSwECFAAUAAAACACHTuJAMy8F&#10;njsAAAA5AAAAEAAAAAAAAAABACAAAAAMAQAAZHJzL3NoYXBleG1sLnhtbFBLBQYAAAAABgAGAFsB&#10;AAC2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w:t>
                          </w:r>
                          <w:r>
                            <w:rPr>
                              <w:rFonts w:hint="eastAsia" w:ascii="方正仿宋_GBK" w:hAnsi="方正仿宋_GBK" w:eastAsia="方正仿宋_GBK" w:cs="方正仿宋_GBK"/>
                              <w:kern w:val="2"/>
                              <w:sz w:val="21"/>
                              <w:szCs w:val="22"/>
                              <w:highlight w:val="none"/>
                              <w:lang w:val="en-US" w:eastAsia="zh-CN" w:bidi="ar"/>
                            </w:rPr>
                            <w:t>财务部</w:t>
                          </w:r>
                        </w:p>
                      </w:txbxContent>
                    </v:textbox>
                  </v:rect>
                  <v:line id="_x0000_s1026" o:spid="_x0000_s1026" o:spt="20" style="position:absolute;left:9504;top:177523;flip:x y;height:459;width:4;" filled="f" stroked="t" coordsize="21600,21600" o:gfxdata="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9pcv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group>
              </v:group>
            </w:pict>
          </mc:Fallback>
        </mc:AlternateContent>
      </w:r>
    </w:p>
    <w:p>
      <w:pPr>
        <w:rPr>
          <w:rFonts w:hint="eastAsia"/>
          <w:lang w:val="en-US" w:eastAsia="zh-CN"/>
        </w:rPr>
      </w:pPr>
    </w:p>
    <w:p>
      <w:pPr>
        <w:jc w:val="center"/>
        <w:rPr>
          <w:rFonts w:hint="eastAsia" w:ascii="方正仿宋_GBK" w:hAnsi="方正仿宋_GBK" w:eastAsia="方正仿宋_GBK" w:cs="方正仿宋_GBK"/>
          <w:b/>
          <w:bCs/>
          <w:sz w:val="28"/>
          <w:szCs w:val="28"/>
          <w:lang w:val="en-US" w:eastAsia="zh-CN"/>
        </w:rPr>
      </w:pPr>
      <w:r>
        <w:rPr>
          <w:sz w:val="28"/>
        </w:rPr>
        <mc:AlternateContent>
          <mc:Choice Requires="wps">
            <w:drawing>
              <wp:anchor distT="0" distB="0" distL="114300" distR="114300" simplePos="0" relativeHeight="251669504" behindDoc="0" locked="0" layoutInCell="1" allowOverlap="1">
                <wp:simplePos x="0" y="0"/>
                <wp:positionH relativeFrom="column">
                  <wp:posOffset>2868930</wp:posOffset>
                </wp:positionH>
                <wp:positionV relativeFrom="paragraph">
                  <wp:posOffset>313690</wp:posOffset>
                </wp:positionV>
                <wp:extent cx="635" cy="190500"/>
                <wp:effectExtent l="6350" t="0" r="12065" b="0"/>
                <wp:wrapNone/>
                <wp:docPr id="45" name="直接连接符 45"/>
                <wp:cNvGraphicFramePr/>
                <a:graphic xmlns:a="http://schemas.openxmlformats.org/drawingml/2006/main">
                  <a:graphicData uri="http://schemas.microsoft.com/office/word/2010/wordprocessingShape">
                    <wps:wsp>
                      <wps:cNvCnPr/>
                      <wps:spPr>
                        <a:xfrm>
                          <a:off x="0" y="0"/>
                          <a:ext cx="635" cy="190500"/>
                        </a:xfrm>
                        <a:prstGeom prst="line">
                          <a:avLst/>
                        </a:prstGeom>
                        <a:ln w="1270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25.9pt;margin-top:24.7pt;height:15pt;width:0.05pt;z-index:251669504;mso-width-relative:page;mso-height-relative:page;" filled="f" stroked="t" coordsize="21600,21600" o:gfxdata="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3uNA62AAAAAkBAAAPAAAAAAAAAAEAIAAAACIAAABkcnMvZG93bnJldi54bWxQ&#10;SwECFAAUAAAACACHTuJAgbxHNPcBAADoAwAADgAAAAAAAAABACAAAAAnAQAAZHJzL2Uyb0RvYy54&#10;bWxQSwUGAAAAAAYABgBZAQAAkAUAAAAA&#10;">
                <v:fill on="f" focussize="0,0"/>
                <v:stroke weight="1pt" color="#000000" joinstyle="round"/>
                <v:imagedata o:title=""/>
                <o:lock v:ext="edit" aspectratio="f"/>
              </v:line>
            </w:pict>
          </mc:Fallback>
        </mc:AlternateContent>
      </w:r>
    </w:p>
    <w:p>
      <w:pPr>
        <w:pStyle w:val="11"/>
        <w:rPr>
          <w:rFonts w:hint="eastAsia"/>
          <w:lang w:val="en-US" w:eastAsia="zh-CN"/>
        </w:rPr>
      </w:pPr>
    </w:p>
    <w:p>
      <w:pPr>
        <w:rPr>
          <w:rFonts w:hint="default"/>
          <w:lang w:val="en-US" w:eastAsia="zh-CN"/>
        </w:rPr>
      </w:pPr>
      <w:r>
        <w:rPr>
          <w:sz w:val="21"/>
        </w:rPr>
        <mc:AlternateContent>
          <mc:Choice Requires="wps">
            <w:drawing>
              <wp:anchor distT="0" distB="0" distL="114300" distR="114300" simplePos="0" relativeHeight="251674624" behindDoc="0" locked="0" layoutInCell="1" allowOverlap="1">
                <wp:simplePos x="0" y="0"/>
                <wp:positionH relativeFrom="column">
                  <wp:posOffset>2878455</wp:posOffset>
                </wp:positionH>
                <wp:positionV relativeFrom="paragraph">
                  <wp:posOffset>197485</wp:posOffset>
                </wp:positionV>
                <wp:extent cx="635" cy="281940"/>
                <wp:effectExtent l="6350" t="0" r="12065" b="3810"/>
                <wp:wrapNone/>
                <wp:docPr id="10" name="直接连接符 10"/>
                <wp:cNvGraphicFramePr/>
                <a:graphic xmlns:a="http://schemas.openxmlformats.org/drawingml/2006/main">
                  <a:graphicData uri="http://schemas.microsoft.com/office/word/2010/wordprocessingShape">
                    <wps:wsp>
                      <wps:cNvCnPr/>
                      <wps:spPr>
                        <a:xfrm>
                          <a:off x="0" y="0"/>
                          <a:ext cx="635" cy="281940"/>
                        </a:xfrm>
                        <a:prstGeom prst="line">
                          <a:avLst/>
                        </a:prstGeom>
                        <a:ln w="1270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26.65pt;margin-top:15.55pt;height:22.2pt;width:0.05pt;z-index:251674624;mso-width-relative:page;mso-height-relative:page;" filled="f" stroked="t" coordsize="21600,21600" o:gfxdata="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M5e6//ZAAAACQEAAA8AAAAAAAAAAQAgAAAAIgAAAGRycy9kb3ducmV2Lnht&#10;bFBLAQIUABQAAAAIAIdO4kCYHjRA+AEAAOgDAAAOAAAAAAAAAAEAIAAAACgBAABkcnMvZTJvRG9j&#10;LnhtbFBLBQYAAAAABgAGAFkBAACSBQAAAAA=&#10;">
                <v:fill on="f" focussize="0,0"/>
                <v:stroke weight="1pt" color="#000000" joinstyle="round"/>
                <v:imagedata o:title=""/>
                <o:lock v:ext="edit" aspectratio="f"/>
              </v:line>
            </w:pict>
          </mc:Fallback>
        </mc:AlternateContent>
      </w:r>
    </w:p>
    <w:p>
      <w:pPr>
        <w:pStyle w:val="11"/>
        <w:rPr>
          <w:rFonts w:hint="eastAsia" w:ascii="方正仿宋_GBK" w:hAnsi="方正仿宋_GBK" w:eastAsia="方正仿宋_GBK" w:cs="方正仿宋_GBK"/>
          <w:b/>
          <w:bCs/>
          <w:sz w:val="28"/>
          <w:szCs w:val="28"/>
          <w:lang w:val="en-US" w:eastAsia="zh-CN"/>
        </w:rPr>
      </w:pPr>
      <w:r>
        <w:rPr>
          <w:sz w:val="21"/>
        </w:rPr>
        <mc:AlternateContent>
          <mc:Choice Requires="wps">
            <w:drawing>
              <wp:anchor distT="0" distB="0" distL="114300" distR="114300" simplePos="0" relativeHeight="251666432" behindDoc="0" locked="0" layoutInCell="1" allowOverlap="1">
                <wp:simplePos x="0" y="0"/>
                <wp:positionH relativeFrom="column">
                  <wp:posOffset>4410075</wp:posOffset>
                </wp:positionH>
                <wp:positionV relativeFrom="paragraph">
                  <wp:posOffset>64135</wp:posOffset>
                </wp:positionV>
                <wp:extent cx="0" cy="278765"/>
                <wp:effectExtent l="6350" t="0" r="12700" b="6985"/>
                <wp:wrapNone/>
                <wp:docPr id="13" name="直接连接符 13"/>
                <wp:cNvGraphicFramePr/>
                <a:graphic xmlns:a="http://schemas.openxmlformats.org/drawingml/2006/main">
                  <a:graphicData uri="http://schemas.microsoft.com/office/word/2010/wordprocessingShape">
                    <wps:wsp>
                      <wps:cNvCnPr/>
                      <wps:spPr>
                        <a:xfrm flipV="1">
                          <a:off x="0" y="0"/>
                          <a:ext cx="0" cy="27876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y;margin-left:347.25pt;margin-top:5.05pt;height:21.95pt;width:0pt;z-index:251666432;mso-width-relative:page;mso-height-relative:page;" filled="f" stroked="t" coordsize="21600,21600" o:gfxdata="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iybeW1gAAAAkBAAAPAAAAAAAAAAEAIAAAACIAAABkcnMvZG93bnJl&#10;di54bWxQSwECFAAUAAAACACHTuJAgePKkv8BAAD6AwAADgAAAAAAAAABACAAAAAlAQAAZHJzL2Uy&#10;b0RvYy54bWxQSwUGAAAAAAYABgBZAQAAlgU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5408" behindDoc="0" locked="0" layoutInCell="1" allowOverlap="1">
                <wp:simplePos x="0" y="0"/>
                <wp:positionH relativeFrom="column">
                  <wp:posOffset>4408170</wp:posOffset>
                </wp:positionH>
                <wp:positionV relativeFrom="paragraph">
                  <wp:posOffset>285115</wp:posOffset>
                </wp:positionV>
                <wp:extent cx="0" cy="291465"/>
                <wp:effectExtent l="6350" t="0" r="12700" b="13335"/>
                <wp:wrapNone/>
                <wp:docPr id="8" name="直接连接符 8"/>
                <wp:cNvGraphicFramePr/>
                <a:graphic xmlns:a="http://schemas.openxmlformats.org/drawingml/2006/main">
                  <a:graphicData uri="http://schemas.microsoft.com/office/word/2010/wordprocessingShape">
                    <wps:wsp>
                      <wps:cNvCnPr/>
                      <wps:spPr>
                        <a:xfrm flipV="1">
                          <a:off x="0" y="0"/>
                          <a:ext cx="0" cy="29146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y;margin-left:347.1pt;margin-top:22.45pt;height:22.95pt;width:0pt;z-index:251665408;mso-width-relative:page;mso-height-relative:page;" filled="f" stroked="t" coordsize="21600,21600" o:gfxdata="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jOjYq1wAAAAkBAAAPAAAAAAAAAAEAIAAAACIAAABkcnMvZG93bnJl&#10;di54bWxQSwECFAAUAAAACACHTuJAHLKcEv4BAAD4AwAADgAAAAAAAAABACAAAAAmAQAAZHJzL2Uy&#10;b0RvYy54bWxQSwUGAAAAAAYABgBZAQAAlgUAAAAA&#10;">
                <v:fill on="f" focussize="0,0"/>
                <v:stroke weight="1pt" color="#000000" joinstyle="round"/>
                <v:imagedata o:title=""/>
                <o:lock v:ext="edit" aspectratio="f"/>
              </v:lin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1327785</wp:posOffset>
                </wp:positionH>
                <wp:positionV relativeFrom="paragraph">
                  <wp:posOffset>62230</wp:posOffset>
                </wp:positionV>
                <wp:extent cx="0" cy="255905"/>
                <wp:effectExtent l="6350" t="0" r="12700" b="10795"/>
                <wp:wrapNone/>
                <wp:docPr id="6" name="直接连接符 6"/>
                <wp:cNvGraphicFramePr/>
                <a:graphic xmlns:a="http://schemas.openxmlformats.org/drawingml/2006/main">
                  <a:graphicData uri="http://schemas.microsoft.com/office/word/2010/wordprocessingShape">
                    <wps:wsp>
                      <wps:cNvCnPr/>
                      <wps:spPr>
                        <a:xfrm>
                          <a:off x="0" y="0"/>
                          <a:ext cx="0" cy="25590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104.55pt;margin-top:4.9pt;height:20.15pt;width:0pt;z-index:251662336;mso-width-relative:page;mso-height-relative:page;" filled="f" stroked="t" coordsize="21600,21600" o:gfxdata="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dsYiR1gAAAAgBAAAPAAAAAAAAAAEAIAAAACIAAABkcnMvZG93bnJldi54bWxQSwEC&#10;FAAUAAAACACHTuJAwfrAQvYBAADuAwAADgAAAAAAAAABACAAAAAlAQAAZHJzL2Uyb0RvYy54bWxQ&#10;SwUGAAAAAAYABgBZAQAAjQU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1312" behindDoc="0" locked="0" layoutInCell="1" allowOverlap="1">
                <wp:simplePos x="0" y="0"/>
                <wp:positionH relativeFrom="column">
                  <wp:posOffset>1326515</wp:posOffset>
                </wp:positionH>
                <wp:positionV relativeFrom="paragraph">
                  <wp:posOffset>298450</wp:posOffset>
                </wp:positionV>
                <wp:extent cx="1270" cy="278765"/>
                <wp:effectExtent l="6350" t="0" r="11430" b="6985"/>
                <wp:wrapNone/>
                <wp:docPr id="39" name="直接连接符 39"/>
                <wp:cNvGraphicFramePr/>
                <a:graphic xmlns:a="http://schemas.openxmlformats.org/drawingml/2006/main">
                  <a:graphicData uri="http://schemas.microsoft.com/office/word/2010/wordprocessingShape">
                    <wps:wsp>
                      <wps:cNvCnPr/>
                      <wps:spPr>
                        <a:xfrm>
                          <a:off x="0" y="0"/>
                          <a:ext cx="1270" cy="27876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104.45pt;margin-top:23.5pt;height:21.95pt;width:0.1pt;z-index:251661312;mso-width-relative:page;mso-height-relative:page;" filled="f" stroked="t" coordsize="21600,21600" o:gfxdata="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oCG2bYAAAACQEAAA8AAAAAAAAAAQAgAAAAIgAAAGRycy9kb3ducmV2Lnht&#10;bFBLAQIUABQAAAAIAIdO4kDRPprM+QEAAPMDAAAOAAAAAAAAAAEAIAAAACcBAABkcnMvZTJvRG9j&#10;LnhtbFBLBQYAAAAABgAGAFkBAACSBQ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4384" behindDoc="0" locked="0" layoutInCell="1" allowOverlap="1">
                <wp:simplePos x="0" y="0"/>
                <wp:positionH relativeFrom="column">
                  <wp:posOffset>3320415</wp:posOffset>
                </wp:positionH>
                <wp:positionV relativeFrom="paragraph">
                  <wp:posOffset>281305</wp:posOffset>
                </wp:positionV>
                <wp:extent cx="0" cy="294005"/>
                <wp:effectExtent l="6350" t="0" r="12700" b="10795"/>
                <wp:wrapNone/>
                <wp:docPr id="7" name="直接连接符 7"/>
                <wp:cNvGraphicFramePr/>
                <a:graphic xmlns:a="http://schemas.openxmlformats.org/drawingml/2006/main">
                  <a:graphicData uri="http://schemas.microsoft.com/office/word/2010/wordprocessingShape">
                    <wps:wsp>
                      <wps:cNvCnPr/>
                      <wps:spPr>
                        <a:xfrm flipV="1">
                          <a:off x="0" y="0"/>
                          <a:ext cx="0" cy="29400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y;margin-left:261.45pt;margin-top:22.15pt;height:23.15pt;width:0pt;z-index:251664384;mso-width-relative:page;mso-height-relative:page;" filled="f" stroked="t" coordsize="21600,21600" o:gfxdata="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8XQX82AAAAAkBAAAPAAAAAAAAAAEAIAAAACIAAABkcnMvZG93bnJl&#10;di54bWxQSwECFAAUAAAACACHTuJAibHsM/0BAAD4AwAADgAAAAAAAAABACAAAAAnAQAAZHJzL2Uy&#10;b0RvYy54bWxQSwUGAAAAAAYABgBZAQAAlgU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3360" behindDoc="0" locked="0" layoutInCell="1" allowOverlap="1">
                <wp:simplePos x="0" y="0"/>
                <wp:positionH relativeFrom="column">
                  <wp:posOffset>2310130</wp:posOffset>
                </wp:positionH>
                <wp:positionV relativeFrom="paragraph">
                  <wp:posOffset>328930</wp:posOffset>
                </wp:positionV>
                <wp:extent cx="2540" cy="291465"/>
                <wp:effectExtent l="6350" t="0" r="10160" b="13335"/>
                <wp:wrapNone/>
                <wp:docPr id="12" name="直接连接符 12"/>
                <wp:cNvGraphicFramePr/>
                <a:graphic xmlns:a="http://schemas.openxmlformats.org/drawingml/2006/main">
                  <a:graphicData uri="http://schemas.microsoft.com/office/word/2010/wordprocessingShape">
                    <wps:wsp>
                      <wps:cNvCnPr/>
                      <wps:spPr>
                        <a:xfrm flipH="1" flipV="1">
                          <a:off x="0" y="0"/>
                          <a:ext cx="2540" cy="29146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x y;margin-left:181.9pt;margin-top:25.9pt;height:22.95pt;width:0.2pt;z-index:251663360;mso-width-relative:page;mso-height-relative:page;" filled="f" stroked="t" coordsize="21600,21600" o:gfxdata="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nuG4LaAAAACQEAAA8AAAAAAAAAAQAgAAAAIgAA&#10;AGRycy9kb3ducmV2LnhtbFBLAQIUABQAAAAIAIdO4kCqjJaqBgIAAAcEAAAOAAAAAAAAAAEAIAAA&#10;ACkBAABkcnMvZTJvRG9jLnhtbFBLBQYAAAAABgAGAFkBAAChBQAAAAA=&#10;">
                <v:fill on="f" focussize="0,0"/>
                <v:stroke weight="1pt" color="#000000" joinstyle="round"/>
                <v:imagedata o:title=""/>
                <o:lock v:ext="edit" aspectratio="f"/>
              </v:line>
            </w:pict>
          </mc:Fallback>
        </mc:AlternateContent>
      </w:r>
    </w:p>
    <w:p>
      <w:pPr>
        <w:pStyle w:val="11"/>
        <w:rPr>
          <w:rFonts w:hint="eastAsia" w:ascii="方正仿宋_GBK" w:hAnsi="方正仿宋_GBK" w:eastAsia="方正仿宋_GBK" w:cs="方正仿宋_GBK"/>
          <w:b/>
          <w:bCs/>
          <w:sz w:val="28"/>
          <w:szCs w:val="28"/>
          <w:lang w:val="en-US" w:eastAsia="zh-CN"/>
        </w:rPr>
      </w:pPr>
      <w:r>
        <w:rPr>
          <w:sz w:val="28"/>
        </w:rPr>
        <mc:AlternateContent>
          <mc:Choice Requires="wps">
            <w:drawing>
              <wp:anchor distT="0" distB="0" distL="114300" distR="114300" simplePos="0" relativeHeight="251660288" behindDoc="0" locked="0" layoutInCell="1" allowOverlap="1">
                <wp:simplePos x="0" y="0"/>
                <wp:positionH relativeFrom="column">
                  <wp:posOffset>3153410</wp:posOffset>
                </wp:positionH>
                <wp:positionV relativeFrom="paragraph">
                  <wp:posOffset>226695</wp:posOffset>
                </wp:positionV>
                <wp:extent cx="314960" cy="1960245"/>
                <wp:effectExtent l="12700" t="12700" r="15240" b="27305"/>
                <wp:wrapNone/>
                <wp:docPr id="11" name="矩形 11"/>
                <wp:cNvGraphicFramePr/>
                <a:graphic xmlns:a="http://schemas.openxmlformats.org/drawingml/2006/main">
                  <a:graphicData uri="http://schemas.microsoft.com/office/word/2010/wordprocessingShape">
                    <wps:wsp>
                      <wps:cNvSpPr/>
                      <wps:spPr>
                        <a:xfrm>
                          <a:off x="0" y="0"/>
                          <a:ext cx="314960" cy="1960245"/>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商务合约部</w:t>
                            </w:r>
                          </w:p>
                        </w:txbxContent>
                      </wps:txbx>
                      <wps:bodyPr upright="1"/>
                    </wps:wsp>
                  </a:graphicData>
                </a:graphic>
              </wp:anchor>
            </w:drawing>
          </mc:Choice>
          <mc:Fallback>
            <w:pict>
              <v:rect id="_x0000_s1026" o:spid="_x0000_s1026" o:spt="1" style="position:absolute;left:0pt;margin-left:248.3pt;margin-top:17.85pt;height:154.35pt;width:24.8pt;z-index:251660288;mso-width-relative:page;mso-height-relative:page;" fillcolor="#FFFFFF" filled="t" stroked="t" coordsize="21600,21600" o:gfxdata="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au5M82QAAAAoBAAAPAAAAAAAAAAEAIAAAACIAAABkcnMvZG93&#10;bnJldi54bWxQSwECFAAUAAAACACHTuJAqp7vkv8BAAAsBAAADgAAAAAAAAABACAAAAAoAQAAZHJz&#10;L2Uyb0RvYy54bWxQSwUGAAAAAAYABgBZAQAAmQU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商务合约部</w:t>
                      </w:r>
                    </w:p>
                  </w:txbxContent>
                </v:textbox>
              </v:rect>
            </w:pict>
          </mc:Fallback>
        </mc:AlternateContent>
      </w:r>
      <w:r>
        <w:rPr>
          <w:sz w:val="28"/>
        </w:rPr>
        <mc:AlternateContent>
          <mc:Choice Requires="wps">
            <w:drawing>
              <wp:anchor distT="0" distB="0" distL="114300" distR="114300" simplePos="0" relativeHeight="251675648" behindDoc="0" locked="0" layoutInCell="1" allowOverlap="1">
                <wp:simplePos x="0" y="0"/>
                <wp:positionH relativeFrom="column">
                  <wp:posOffset>2688590</wp:posOffset>
                </wp:positionH>
                <wp:positionV relativeFrom="paragraph">
                  <wp:posOffset>205740</wp:posOffset>
                </wp:positionV>
                <wp:extent cx="314960" cy="1960245"/>
                <wp:effectExtent l="12700" t="12700" r="15240" b="27305"/>
                <wp:wrapNone/>
                <wp:docPr id="9" name="矩形 9"/>
                <wp:cNvGraphicFramePr/>
                <a:graphic xmlns:a="http://schemas.openxmlformats.org/drawingml/2006/main">
                  <a:graphicData uri="http://schemas.microsoft.com/office/word/2010/wordprocessingShape">
                    <wps:wsp>
                      <wps:cNvSpPr/>
                      <wps:spPr>
                        <a:xfrm>
                          <a:off x="0" y="0"/>
                          <a:ext cx="314960" cy="1960245"/>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安全环保部</w:t>
                            </w:r>
                          </w:p>
                        </w:txbxContent>
                      </wps:txbx>
                      <wps:bodyPr upright="1"/>
                    </wps:wsp>
                  </a:graphicData>
                </a:graphic>
              </wp:anchor>
            </w:drawing>
          </mc:Choice>
          <mc:Fallback>
            <w:pict>
              <v:rect id="_x0000_s1026" o:spid="_x0000_s1026" o:spt="1" style="position:absolute;left:0pt;margin-left:211.7pt;margin-top:16.2pt;height:154.35pt;width:24.8pt;z-index:251675648;mso-width-relative:page;mso-height-relative:page;" fillcolor="#FFFFFF" filled="t" stroked="t" coordsize="21600,21600" o:gfxdata="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dHjJnYAAAACgEAAA8AAAAAAAAAAQAgAAAAIgAAAGRycy9kb3du&#10;cmV2LnhtbFBLAQIUABQAAAAIAIdO4kAvB28R/wEAACoEAAAOAAAAAAAAAAEAIAAAACcBAABkcnMv&#10;ZTJvRG9jLnhtbFBLBQYAAAAABgAGAFkBAACYBQ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安全环保部</w:t>
                      </w:r>
                    </w:p>
                  </w:txbxContent>
                </v:textbox>
              </v:rect>
            </w:pict>
          </mc:Fallback>
        </mc:AlternateContent>
      </w:r>
    </w:p>
    <w:p>
      <w:pPr>
        <w:pStyle w:val="11"/>
        <w:rPr>
          <w:rFonts w:hint="eastAsia" w:ascii="方正仿宋_GBK" w:hAnsi="方正仿宋_GBK" w:eastAsia="方正仿宋_GBK" w:cs="方正仿宋_GBK"/>
          <w:b/>
          <w:bCs/>
          <w:sz w:val="28"/>
          <w:szCs w:val="28"/>
          <w:lang w:val="en-US" w:eastAsia="zh-CN"/>
        </w:rPr>
      </w:pPr>
    </w:p>
    <w:p>
      <w:pPr>
        <w:pStyle w:val="11"/>
        <w:rPr>
          <w:rFonts w:hint="eastAsia" w:ascii="方正仿宋_GBK" w:hAnsi="方正仿宋_GBK" w:eastAsia="方正仿宋_GBK" w:cs="方正仿宋_GBK"/>
          <w:b/>
          <w:bCs/>
          <w:sz w:val="28"/>
          <w:szCs w:val="28"/>
          <w:lang w:val="en-US" w:eastAsia="zh-CN"/>
        </w:rPr>
      </w:pPr>
    </w:p>
    <w:p>
      <w:pPr>
        <w:pStyle w:val="11"/>
        <w:rPr>
          <w:rFonts w:hint="eastAsia" w:ascii="方正仿宋_GBK" w:hAnsi="方正仿宋_GBK" w:eastAsia="方正仿宋_GBK" w:cs="方正仿宋_GBK"/>
          <w:b/>
          <w:bCs/>
          <w:sz w:val="28"/>
          <w:szCs w:val="28"/>
          <w:lang w:val="en-US" w:eastAsia="zh-CN"/>
        </w:rPr>
      </w:pPr>
    </w:p>
    <w:p>
      <w:pPr>
        <w:pStyle w:val="11"/>
        <w:rPr>
          <w:rFonts w:hint="eastAsia" w:ascii="方正仿宋_GBK" w:hAnsi="方正仿宋_GBK" w:eastAsia="方正仿宋_GBK" w:cs="方正仿宋_GBK"/>
          <w:b/>
          <w:bCs/>
          <w:sz w:val="28"/>
          <w:szCs w:val="28"/>
          <w:lang w:val="en-US" w:eastAsia="zh-CN"/>
        </w:rPr>
      </w:pPr>
    </w:p>
    <w:p>
      <w:pPr>
        <w:pStyle w:val="11"/>
        <w:pageBreakBefore w:val="0"/>
        <w:kinsoku/>
        <w:wordWrap/>
        <w:overflowPunct/>
        <w:topLinePunct w:val="0"/>
        <w:autoSpaceDE/>
        <w:autoSpaceDN/>
        <w:bidi w:val="0"/>
        <w:adjustRightInd/>
        <w:snapToGrid/>
        <w:spacing w:after="0" w:line="360" w:lineRule="auto"/>
        <w:ind w:left="0" w:leftChars="0" w:firstLine="0" w:firstLineChars="0"/>
        <w:jc w:val="left"/>
        <w:textAlignment w:val="auto"/>
        <w:rPr>
          <w:rFonts w:hint="eastAsia" w:ascii="方正仿宋_GBK" w:hAnsi="方正仿宋_GBK" w:eastAsia="方正仿宋_GBK" w:cs="方正仿宋_GBK"/>
          <w:b/>
          <w:bCs/>
          <w:sz w:val="28"/>
          <w:szCs w:val="28"/>
          <w:lang w:val="en-US" w:eastAsia="zh-CN"/>
        </w:rPr>
      </w:pPr>
      <w:r>
        <w:rPr>
          <w:sz w:val="28"/>
        </w:rPr>
        <mc:AlternateContent>
          <mc:Choice Requires="wps">
            <w:drawing>
              <wp:anchor distT="0" distB="0" distL="114300" distR="114300" simplePos="0" relativeHeight="251676672" behindDoc="0" locked="0" layoutInCell="1" allowOverlap="1">
                <wp:simplePos x="0" y="0"/>
                <wp:positionH relativeFrom="column">
                  <wp:posOffset>2856865</wp:posOffset>
                </wp:positionH>
                <wp:positionV relativeFrom="paragraph">
                  <wp:posOffset>195580</wp:posOffset>
                </wp:positionV>
                <wp:extent cx="0" cy="297180"/>
                <wp:effectExtent l="6350" t="0" r="12700" b="7620"/>
                <wp:wrapNone/>
                <wp:docPr id="42" name="直接连接符 42"/>
                <wp:cNvGraphicFramePr/>
                <a:graphic xmlns:a="http://schemas.openxmlformats.org/drawingml/2006/main">
                  <a:graphicData uri="http://schemas.microsoft.com/office/word/2010/wordprocessingShape">
                    <wps:wsp>
                      <wps:cNvCnPr/>
                      <wps:spPr>
                        <a:xfrm>
                          <a:off x="0" y="0"/>
                          <a:ext cx="0" cy="297180"/>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224.95pt;margin-top:15.4pt;height:23.4pt;width:0pt;z-index:251676672;mso-width-relative:page;mso-height-relative:page;" filled="f" stroked="t" coordsize="21600,21600" o:gfxdata="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5jNctgAAAAJAQAADwAAAAAAAAABACAAAAAiAAAAZHJzL2Rvd25yZXYu&#10;eG1sUEsBAhQAFAAAAAgAh07iQIV8IEX7AQAA8AMAAA4AAAAAAAAAAQAgAAAAJwEAAGRycy9lMm9E&#10;b2MueG1sUEsFBgAAAAAGAAYAWQEAAJQFA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71552" behindDoc="0" locked="0" layoutInCell="1" allowOverlap="1">
                <wp:simplePos x="0" y="0"/>
                <wp:positionH relativeFrom="column">
                  <wp:posOffset>4454525</wp:posOffset>
                </wp:positionH>
                <wp:positionV relativeFrom="paragraph">
                  <wp:posOffset>202565</wp:posOffset>
                </wp:positionV>
                <wp:extent cx="0" cy="343535"/>
                <wp:effectExtent l="6350" t="0" r="12700" b="18415"/>
                <wp:wrapNone/>
                <wp:docPr id="41" name="直接连接符 41"/>
                <wp:cNvGraphicFramePr/>
                <a:graphic xmlns:a="http://schemas.openxmlformats.org/drawingml/2006/main">
                  <a:graphicData uri="http://schemas.microsoft.com/office/word/2010/wordprocessingShape">
                    <wps:wsp>
                      <wps:cNvCnPr/>
                      <wps:spPr>
                        <a:xfrm>
                          <a:off x="0" y="0"/>
                          <a:ext cx="0" cy="34353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350.75pt;margin-top:15.95pt;height:27.05pt;width:0pt;z-index:251671552;mso-width-relative:page;mso-height-relative:page;" filled="f" stroked="t" coordsize="21600,21600" o:gfxdata="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M9urP2AAAAAkBAAAPAAAAAAAAAAEAIAAAACIAAABkcnMvZG93bnJldi54bWxQ&#10;SwECFAAUAAAACACHTuJA8zXBnvcBAADwAwAADgAAAAAAAAABACAAAAAnAQAAZHJzL2Uyb0RvYy54&#10;bWxQSwUGAAAAAAYABgBZAQAAkAU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7456" behindDoc="0" locked="0" layoutInCell="1" allowOverlap="1">
                <wp:simplePos x="0" y="0"/>
                <wp:positionH relativeFrom="column">
                  <wp:posOffset>3876675</wp:posOffset>
                </wp:positionH>
                <wp:positionV relativeFrom="paragraph">
                  <wp:posOffset>193675</wp:posOffset>
                </wp:positionV>
                <wp:extent cx="635" cy="312420"/>
                <wp:effectExtent l="6350" t="0" r="12065" b="11430"/>
                <wp:wrapNone/>
                <wp:docPr id="37" name="直接连接符 37"/>
                <wp:cNvGraphicFramePr/>
                <a:graphic xmlns:a="http://schemas.openxmlformats.org/drawingml/2006/main">
                  <a:graphicData uri="http://schemas.microsoft.com/office/word/2010/wordprocessingShape">
                    <wps:wsp>
                      <wps:cNvCnPr/>
                      <wps:spPr>
                        <a:xfrm>
                          <a:off x="0" y="0"/>
                          <a:ext cx="635" cy="312420"/>
                        </a:xfrm>
                        <a:prstGeom prst="line">
                          <a:avLst/>
                        </a:prstGeom>
                        <a:ln w="1270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05.25pt;margin-top:15.25pt;height:24.6pt;width:0.05pt;z-index:251667456;mso-width-relative:page;mso-height-relative:page;" filled="f" stroked="t" coordsize="21600,21600" o:gfxdata="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mLj4l2AAAAAkBAAAPAAAAAAAAAAEAIAAAACIAAABkcnMvZG93bnJldi54&#10;bWxQSwECFAAUAAAACACHTuJASjjl9PoBAADoAwAADgAAAAAAAAABACAAAAAnAQAAZHJzL2Uyb0Rv&#10;Yy54bWxQSwUGAAAAAAYABgBZAQAAkwU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70528" behindDoc="0" locked="0" layoutInCell="1" allowOverlap="1">
                <wp:simplePos x="0" y="0"/>
                <wp:positionH relativeFrom="column">
                  <wp:posOffset>3314700</wp:posOffset>
                </wp:positionH>
                <wp:positionV relativeFrom="paragraph">
                  <wp:posOffset>179070</wp:posOffset>
                </wp:positionV>
                <wp:extent cx="0" cy="323215"/>
                <wp:effectExtent l="6350" t="0" r="12700" b="635"/>
                <wp:wrapNone/>
                <wp:docPr id="36" name="直接连接符 36"/>
                <wp:cNvGraphicFramePr/>
                <a:graphic xmlns:a="http://schemas.openxmlformats.org/drawingml/2006/main">
                  <a:graphicData uri="http://schemas.microsoft.com/office/word/2010/wordprocessingShape">
                    <wps:wsp>
                      <wps:cNvCnPr/>
                      <wps:spPr>
                        <a:xfrm>
                          <a:off x="0" y="0"/>
                          <a:ext cx="0" cy="32321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261pt;margin-top:14.1pt;height:25.45pt;width:0pt;z-index:251670528;mso-width-relative:page;mso-height-relative:page;" filled="f" stroked="t" coordsize="21600,21600" o:gfxdata="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CB487XAAAACQEAAA8AAAAAAAAAAQAgAAAAIgAAAGRycy9kb3ducmV2LnhtbFBL&#10;AQIUABQAAAAIAIdO4kBxMq0l9wEAAPADAAAOAAAAAAAAAAEAIAAAACYBAABkcnMvZTJvRG9jLnht&#10;bFBLBQYAAAAABgAGAFkBAACPBQ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9504" behindDoc="0" locked="0" layoutInCell="1" allowOverlap="1">
                <wp:simplePos x="0" y="0"/>
                <wp:positionH relativeFrom="column">
                  <wp:posOffset>2323465</wp:posOffset>
                </wp:positionH>
                <wp:positionV relativeFrom="paragraph">
                  <wp:posOffset>205105</wp:posOffset>
                </wp:positionV>
                <wp:extent cx="0" cy="297180"/>
                <wp:effectExtent l="6350" t="0" r="12700" b="7620"/>
                <wp:wrapNone/>
                <wp:docPr id="43" name="直接连接符 43"/>
                <wp:cNvGraphicFramePr/>
                <a:graphic xmlns:a="http://schemas.openxmlformats.org/drawingml/2006/main">
                  <a:graphicData uri="http://schemas.microsoft.com/office/word/2010/wordprocessingShape">
                    <wps:wsp>
                      <wps:cNvCnPr/>
                      <wps:spPr>
                        <a:xfrm>
                          <a:off x="0" y="0"/>
                          <a:ext cx="0" cy="297180"/>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182.95pt;margin-top:16.15pt;height:23.4pt;width:0pt;z-index:251669504;mso-width-relative:page;mso-height-relative:page;" filled="f" stroked="t" coordsize="21600,21600" o:gfxdata="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EYvUtgAAAAJAQAADwAAAAAAAAABACAAAAAiAAAAZHJzL2Rvd25yZXYu&#10;eG1sUEsBAhQAFAAAAAgAh07iQOSt3Ez7AQAA8AMAAA4AAAAAAAAAAQAgAAAAJwEAAGRycy9lMm9E&#10;b2MueG1sUEsFBgAAAAAGAAYAWQEAAJQFA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8480" behindDoc="0" locked="0" layoutInCell="1" allowOverlap="1">
                <wp:simplePos x="0" y="0"/>
                <wp:positionH relativeFrom="column">
                  <wp:posOffset>1336040</wp:posOffset>
                </wp:positionH>
                <wp:positionV relativeFrom="paragraph">
                  <wp:posOffset>198755</wp:posOffset>
                </wp:positionV>
                <wp:extent cx="1270" cy="320675"/>
                <wp:effectExtent l="6350" t="0" r="11430" b="3175"/>
                <wp:wrapNone/>
                <wp:docPr id="40" name="直接连接符 40"/>
                <wp:cNvGraphicFramePr/>
                <a:graphic xmlns:a="http://schemas.openxmlformats.org/drawingml/2006/main">
                  <a:graphicData uri="http://schemas.microsoft.com/office/word/2010/wordprocessingShape">
                    <wps:wsp>
                      <wps:cNvCnPr/>
                      <wps:spPr>
                        <a:xfrm flipH="1">
                          <a:off x="0" y="0"/>
                          <a:ext cx="1270" cy="32067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x;margin-left:105.2pt;margin-top:15.65pt;height:25.25pt;width:0.1pt;z-index:251668480;mso-width-relative:page;mso-height-relative:page;" filled="f" stroked="t" coordsize="21600,21600" o:gfxdata="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xN4m42AAAAAkBAAAPAAAAAAAAAAEAIAAAACIAAABkcnMvZG93&#10;bnJldi54bWxQSwECFAAUAAAACACHTuJAkS09kQACAAD9AwAADgAAAAAAAAABACAAAAAnAQAAZHJz&#10;L2Uyb0RvYy54bWxQSwUGAAAAAAYABgBZAQAAmQUAAAAA&#10;">
                <v:fill on="f" focussize="0,0"/>
                <v:stroke weight="1pt" color="#000000" joinstyle="round"/>
                <v:imagedata o:title=""/>
                <o:lock v:ext="edit" aspectratio="f"/>
              </v:line>
            </w:pict>
          </mc:Fallback>
        </mc:AlternateContent>
      </w:r>
    </w:p>
    <w:p>
      <w:pPr>
        <w:pStyle w:val="11"/>
        <w:pageBreakBefore w:val="0"/>
        <w:kinsoku/>
        <w:wordWrap/>
        <w:overflowPunct/>
        <w:topLinePunct w:val="0"/>
        <w:autoSpaceDE/>
        <w:autoSpaceDN/>
        <w:bidi w:val="0"/>
        <w:adjustRightInd/>
        <w:snapToGrid/>
        <w:spacing w:after="0" w:line="360" w:lineRule="auto"/>
        <w:ind w:left="0" w:leftChars="0" w:firstLine="0" w:firstLineChars="0"/>
        <w:jc w:val="left"/>
        <w:textAlignment w:val="auto"/>
        <w:rPr>
          <w:rFonts w:hint="eastAsia" w:ascii="方正仿宋_GBK" w:hAnsi="方正仿宋_GBK" w:eastAsia="方正仿宋_GBK" w:cs="方正仿宋_GBK"/>
          <w:b/>
          <w:bCs/>
          <w:sz w:val="28"/>
          <w:szCs w:val="28"/>
          <w:lang w:val="en-US" w:eastAsia="zh-CN"/>
        </w:rPr>
      </w:pPr>
      <w:r>
        <w:rPr>
          <w:sz w:val="28"/>
        </w:rPr>
        <mc:AlternateContent>
          <mc:Choice Requires="wps">
            <w:drawing>
              <wp:anchor distT="0" distB="0" distL="114300" distR="114300" simplePos="0" relativeHeight="251672576" behindDoc="0" locked="0" layoutInCell="1" allowOverlap="1">
                <wp:simplePos x="0" y="0"/>
                <wp:positionH relativeFrom="column">
                  <wp:posOffset>2854960</wp:posOffset>
                </wp:positionH>
                <wp:positionV relativeFrom="paragraph">
                  <wp:posOffset>104140</wp:posOffset>
                </wp:positionV>
                <wp:extent cx="1270" cy="385445"/>
                <wp:effectExtent l="6350" t="0" r="11430" b="14605"/>
                <wp:wrapNone/>
                <wp:docPr id="44" name="直接连接符 44"/>
                <wp:cNvGraphicFramePr/>
                <a:graphic xmlns:a="http://schemas.openxmlformats.org/drawingml/2006/main">
                  <a:graphicData uri="http://schemas.microsoft.com/office/word/2010/wordprocessingShape">
                    <wps:wsp>
                      <wps:cNvCnPr/>
                      <wps:spPr>
                        <a:xfrm flipH="1" flipV="1">
                          <a:off x="0" y="0"/>
                          <a:ext cx="1270" cy="38544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x y;margin-left:224.8pt;margin-top:8.2pt;height:30.35pt;width:0.1pt;z-index:251672576;mso-width-relative:page;mso-height-relative:page;" filled="f" stroked="t" coordsize="21600,21600" o:gfxdata="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&#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Hc9kHYAAAACQEAAA8AAAAAAAAAAQAgAAAAIgAAAGRy&#10;cy9kb3ducmV2LnhtbFBLAQIUABQAAAAIAIdO4kDQACCqBQIAAAcEAAAOAAAAAAAAAAEAIAAAACcB&#10;AABkcnMvZTJvRG9jLnhtbFBLBQYAAAAABgAGAFkBAACeBQAAAAA=&#10;">
                <v:fill on="f" focussize="0,0"/>
                <v:stroke weight="1pt" color="#000000" joinstyle="round"/>
                <v:imagedata o:title=""/>
                <o:lock v:ext="edit" aspectratio="f"/>
              </v:line>
            </w:pict>
          </mc:Fallback>
        </mc:AlternateContent>
      </w:r>
    </w:p>
    <w:p>
      <w:pPr>
        <w:pStyle w:val="11"/>
        <w:pageBreakBefore w:val="0"/>
        <w:kinsoku/>
        <w:wordWrap/>
        <w:overflowPunct/>
        <w:topLinePunct w:val="0"/>
        <w:autoSpaceDE/>
        <w:autoSpaceDN/>
        <w:bidi w:val="0"/>
        <w:adjustRightInd/>
        <w:snapToGrid/>
        <w:spacing w:after="0" w:line="360" w:lineRule="auto"/>
        <w:ind w:left="0" w:leftChars="0" w:firstLine="0" w:firstLineChars="0"/>
        <w:jc w:val="left"/>
        <w:textAlignment w:val="auto"/>
        <w:rPr>
          <w:rFonts w:hint="eastAsia" w:ascii="方正仿宋_GBK" w:hAnsi="方正仿宋_GBK" w:eastAsia="方正仿宋_GBK" w:cs="方正仿宋_GBK"/>
          <w:b/>
          <w:bCs/>
          <w:sz w:val="28"/>
          <w:szCs w:val="28"/>
          <w:lang w:val="en-US" w:eastAsia="zh-CN"/>
        </w:rPr>
      </w:pPr>
    </w:p>
    <w:p>
      <w:pPr>
        <w:pStyle w:val="11"/>
        <w:rPr>
          <w:rFonts w:hint="eastAsia"/>
          <w:lang w:val="en-US" w:eastAsia="zh-CN"/>
        </w:rPr>
      </w:pPr>
      <w:r>
        <mc:AlternateContent>
          <mc:Choice Requires="wps">
            <w:drawing>
              <wp:anchor distT="0" distB="0" distL="114300" distR="114300" simplePos="0" relativeHeight="251673600" behindDoc="0" locked="0" layoutInCell="1" allowOverlap="1">
                <wp:simplePos x="0" y="0"/>
                <wp:positionH relativeFrom="column">
                  <wp:posOffset>2847340</wp:posOffset>
                </wp:positionH>
                <wp:positionV relativeFrom="paragraph">
                  <wp:posOffset>13970</wp:posOffset>
                </wp:positionV>
                <wp:extent cx="1270" cy="385445"/>
                <wp:effectExtent l="6350" t="0" r="11430" b="14605"/>
                <wp:wrapNone/>
                <wp:docPr id="38" name="直接连接符 38"/>
                <wp:cNvGraphicFramePr/>
                <a:graphic xmlns:a="http://schemas.openxmlformats.org/drawingml/2006/main">
                  <a:graphicData uri="http://schemas.microsoft.com/office/word/2010/wordprocessingShape">
                    <wps:wsp>
                      <wps:cNvCnPr/>
                      <wps:spPr>
                        <a:xfrm flipH="1" flipV="1">
                          <a:off x="0" y="0"/>
                          <a:ext cx="1300" cy="385475"/>
                        </a:xfrm>
                        <a:prstGeom prst="line">
                          <a:avLst/>
                        </a:prstGeom>
                        <a:ln w="12700"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flip:x y;margin-left:224.2pt;margin-top:1.1pt;height:30.35pt;width:0.1pt;z-index:251673600;mso-width-relative:page;mso-height-relative:page;" filled="f" stroked="t" coordsize="21600,21600" o:gfxdata="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&#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uxqoXXAAAACAEAAA8AAAAAAAAAAQAgAAAAIgAAAGRy&#10;cy9kb3ducmV2LnhtbFBLAQIUABQAAAAIAIdO4kD+6ck8BgIAAAsEAAAOAAAAAAAAAAEAIAAAACYB&#10;AABkcnMvZTJvRG9jLnhtbFBLBQYAAAAABgAGAFkBAACeBQAAAAA=&#10;">
                <v:fill on="f" focussize="0,0"/>
                <v:stroke weight="1pt" color="#000000" joinstyle="round"/>
                <v:imagedata o:title=""/>
                <o:lock v:ext="edit" aspectratio="f"/>
              </v:line>
            </w:pict>
          </mc:Fallback>
        </mc:AlternateContent>
      </w:r>
    </w:p>
    <w:p>
      <w:pPr>
        <w:pStyle w:val="12"/>
        <w:rPr>
          <w:rFonts w:hint="eastAsia"/>
          <w:lang w:val="en-US" w:eastAsia="zh-CN"/>
        </w:rPr>
      </w:pPr>
    </w:p>
    <w:p>
      <w:pPr>
        <w:pStyle w:val="11"/>
        <w:pageBreakBefore w:val="0"/>
        <w:kinsoku/>
        <w:wordWrap/>
        <w:overflowPunct/>
        <w:topLinePunct w:val="0"/>
        <w:autoSpaceDE/>
        <w:autoSpaceDN/>
        <w:bidi w:val="0"/>
        <w:adjustRightInd/>
        <w:snapToGrid/>
        <w:spacing w:before="0" w:beforeLines="0" w:after="0" w:afterLines="0" w:line="360" w:lineRule="auto"/>
        <w:ind w:left="0" w:leftChars="0" w:firstLine="482" w:firstLineChars="200"/>
        <w:jc w:val="both"/>
        <w:textAlignment w:val="auto"/>
        <w:outlineLvl w:val="9"/>
        <w:rPr>
          <w:rFonts w:hint="eastAsia" w:ascii="仿宋" w:hAnsi="仿宋" w:eastAsia="仿宋" w:cs="仿宋"/>
          <w:b/>
          <w:bCs/>
          <w:sz w:val="24"/>
          <w:szCs w:val="24"/>
          <w:lang w:val="en-US" w:eastAsia="zh-CN"/>
        </w:rPr>
      </w:pPr>
      <w:bookmarkStart w:id="1076" w:name="_Toc26289"/>
      <w:bookmarkStart w:id="1077" w:name="_Toc23642"/>
      <w:bookmarkStart w:id="1078" w:name="_Toc31868"/>
      <w:bookmarkStart w:id="1079" w:name="_Toc10257"/>
    </w:p>
    <w:p>
      <w:pPr>
        <w:pStyle w:val="11"/>
        <w:pageBreakBefore w:val="0"/>
        <w:kinsoku/>
        <w:wordWrap/>
        <w:overflowPunct/>
        <w:topLinePunct w:val="0"/>
        <w:autoSpaceDE/>
        <w:autoSpaceDN/>
        <w:bidi w:val="0"/>
        <w:adjustRightInd/>
        <w:snapToGrid/>
        <w:spacing w:before="0" w:beforeLines="0" w:after="0" w:afterLines="0" w:line="360" w:lineRule="auto"/>
        <w:ind w:left="0" w:leftChars="0" w:firstLine="0" w:firstLineChars="0"/>
        <w:jc w:val="both"/>
        <w:textAlignment w:val="auto"/>
        <w:outlineLvl w:val="9"/>
        <w:rPr>
          <w:rFonts w:hint="eastAsia" w:ascii="方正仿宋_GBK" w:hAnsi="方正仿宋_GBK" w:eastAsia="方正仿宋_GBK" w:cs="方正仿宋_GBK"/>
          <w:b/>
          <w:bCs/>
          <w:kern w:val="0"/>
          <w:sz w:val="28"/>
          <w:szCs w:val="28"/>
          <w:lang w:val="en-US" w:eastAsia="zh-CN"/>
        </w:rPr>
      </w:pPr>
      <w:bookmarkStart w:id="1080" w:name="_Toc10414"/>
      <w:bookmarkStart w:id="1081" w:name="_Toc30786"/>
      <w:bookmarkStart w:id="1082" w:name="_Toc19667"/>
    </w:p>
    <w:bookmarkEnd w:id="1080"/>
    <w:bookmarkEnd w:id="1081"/>
    <w:bookmarkEnd w:id="1082"/>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为加强项目部安全生产管理，贯彻执行“安全第一，预防为主，综合治理”的安全工作方针，明确各级领导和有关职能部门及各岗位从业人员的安全生产职责，共同做好安全生产工作，根据项目部实际情况制定了全员安全生产责任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（一）、项目部安全生产职责</w:t>
      </w:r>
      <w:bookmarkEnd w:id="1076"/>
      <w:bookmarkEnd w:id="1077"/>
      <w:bookmarkEnd w:id="1078"/>
      <w:bookmarkEnd w:id="107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83" w:name="_Toc25928"/>
      <w:bookmarkStart w:id="1084" w:name="_Toc13709"/>
      <w:bookmarkStart w:id="1085" w:name="_Toc10691"/>
      <w:r>
        <w:rPr>
          <w:rFonts w:hint="eastAsia" w:asciiTheme="minorEastAsia" w:hAnsiTheme="minorEastAsia" w:eastAsiaTheme="minorEastAsia" w:cstheme="minorEastAsia"/>
          <w:b w:val="0"/>
          <w:bCs w:val="0"/>
          <w:sz w:val="24"/>
          <w:lang w:val="en-US" w:eastAsia="zh-CN"/>
        </w:rPr>
        <w:t>1.认真贯彻执行国家安全生产法律法规、方针政策、标准规范和上级制度，服从公司对安全生产工作的领导和监督，全面落实本项目部生产经营活动中的安全生产责任；</w:t>
      </w:r>
      <w:bookmarkEnd w:id="1083"/>
      <w:bookmarkEnd w:id="1084"/>
      <w:bookmarkEnd w:id="108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86" w:name="_Toc1460"/>
      <w:bookmarkStart w:id="1087" w:name="_Toc20391"/>
      <w:r>
        <w:rPr>
          <w:rFonts w:hint="eastAsia" w:asciiTheme="minorEastAsia" w:hAnsiTheme="minorEastAsia" w:eastAsiaTheme="minorEastAsia" w:cstheme="minorEastAsia"/>
          <w:b w:val="0"/>
          <w:bCs w:val="0"/>
          <w:sz w:val="24"/>
          <w:lang w:val="en-US" w:eastAsia="zh-CN"/>
        </w:rPr>
        <w:t>2.建立本项目部安全生产领导机构，足额配备专兼职安全管理人员；</w:t>
      </w:r>
      <w:bookmarkEnd w:id="1086"/>
      <w:bookmarkEnd w:id="108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088" w:name="_Toc20700"/>
      <w:bookmarkStart w:id="1089" w:name="_Toc30422"/>
      <w:bookmarkStart w:id="1090" w:name="_Toc12653"/>
      <w:bookmarkStart w:id="1091" w:name="_Toc3273"/>
      <w:bookmarkStart w:id="1092" w:name="_Toc20247"/>
      <w:bookmarkStart w:id="1093" w:name="_Toc14334"/>
      <w:bookmarkStart w:id="1094" w:name="_Toc32394"/>
      <w:r>
        <w:rPr>
          <w:rFonts w:hint="eastAsia" w:asciiTheme="minorEastAsia" w:hAnsiTheme="minorEastAsia" w:eastAsiaTheme="minorEastAsia" w:cstheme="minorEastAsia"/>
          <w:b w:val="0"/>
          <w:bCs w:val="0"/>
          <w:sz w:val="24"/>
          <w:lang w:val="en-US" w:eastAsia="zh-CN"/>
        </w:rPr>
        <w:t>3.按规定提取和使用安全生产费用，不断改善安全生产条件；</w:t>
      </w:r>
      <w:bookmarkEnd w:id="1088"/>
      <w:bookmarkEnd w:id="1089"/>
      <w:bookmarkEnd w:id="1090"/>
      <w:bookmarkEnd w:id="1091"/>
      <w:bookmarkEnd w:id="1092"/>
      <w:bookmarkEnd w:id="1093"/>
      <w:bookmarkEnd w:id="109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95" w:name="_Toc20154"/>
      <w:bookmarkStart w:id="1096" w:name="_Toc22392"/>
      <w:bookmarkStart w:id="1097" w:name="_Toc8227"/>
      <w:r>
        <w:rPr>
          <w:rFonts w:hint="eastAsia" w:asciiTheme="minorEastAsia" w:hAnsiTheme="minorEastAsia" w:eastAsiaTheme="minorEastAsia" w:cstheme="minorEastAsia"/>
          <w:b w:val="0"/>
          <w:bCs w:val="0"/>
          <w:sz w:val="24"/>
          <w:lang w:val="en-US" w:eastAsia="zh-CN"/>
        </w:rPr>
        <w:t>4.执行公司安全管理规章制度，或根据实际情况，制定本项目部安全生产规章制度，并确保落实；</w:t>
      </w:r>
      <w:bookmarkEnd w:id="1095"/>
      <w:bookmarkEnd w:id="1096"/>
      <w:bookmarkEnd w:id="109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98" w:name="_Toc16532"/>
      <w:bookmarkStart w:id="1099" w:name="_Toc19758"/>
      <w:bookmarkStart w:id="1100" w:name="_Toc13992"/>
      <w:r>
        <w:rPr>
          <w:rFonts w:hint="eastAsia" w:asciiTheme="minorEastAsia" w:hAnsiTheme="minorEastAsia" w:eastAsiaTheme="minorEastAsia" w:cstheme="minorEastAsia"/>
          <w:b w:val="0"/>
          <w:bCs w:val="0"/>
          <w:sz w:val="24"/>
          <w:lang w:val="en-US" w:eastAsia="zh-CN"/>
        </w:rPr>
        <w:t>5.积极参加公司安全生产会议，及时传达并贯彻落实会议及上级安全生产相关文件要求；按规定组织召开安全生产会议，分析安全生产形势，研究安全生产问题，部署项目部的安全工作；</w:t>
      </w:r>
      <w:bookmarkEnd w:id="1098"/>
      <w:bookmarkEnd w:id="1099"/>
      <w:bookmarkEnd w:id="110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101" w:name="_Toc14554"/>
      <w:bookmarkStart w:id="1102" w:name="_Toc19541"/>
      <w:bookmarkStart w:id="1103" w:name="_Toc12017"/>
      <w:bookmarkStart w:id="1104" w:name="_Toc23303"/>
      <w:bookmarkStart w:id="1105" w:name="_Toc10433"/>
      <w:bookmarkStart w:id="1106" w:name="_Toc12528"/>
      <w:bookmarkStart w:id="1107" w:name="_Toc23931"/>
      <w:r>
        <w:rPr>
          <w:rFonts w:hint="eastAsia" w:asciiTheme="minorEastAsia" w:hAnsiTheme="minorEastAsia" w:eastAsiaTheme="minorEastAsia" w:cstheme="minorEastAsia"/>
          <w:b w:val="0"/>
          <w:bCs w:val="0"/>
          <w:sz w:val="24"/>
          <w:lang w:val="en-US" w:eastAsia="zh-CN"/>
        </w:rPr>
        <w:t>6.项目部明确岗位职责，签订覆盖全员的安全生产责任书；</w:t>
      </w:r>
      <w:bookmarkEnd w:id="1101"/>
      <w:bookmarkEnd w:id="1102"/>
      <w:bookmarkEnd w:id="1103"/>
      <w:bookmarkEnd w:id="1104"/>
      <w:bookmarkEnd w:id="1105"/>
      <w:bookmarkEnd w:id="1106"/>
      <w:bookmarkEnd w:id="110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08" w:name="_Toc16246"/>
      <w:bookmarkStart w:id="1109" w:name="_Toc22652"/>
      <w:bookmarkStart w:id="1110" w:name="_Toc23059"/>
      <w:r>
        <w:rPr>
          <w:rFonts w:hint="eastAsia" w:asciiTheme="minorEastAsia" w:hAnsiTheme="minorEastAsia" w:eastAsiaTheme="minorEastAsia" w:cstheme="minorEastAsia"/>
          <w:b w:val="0"/>
          <w:bCs w:val="0"/>
          <w:sz w:val="24"/>
          <w:lang w:val="en-US" w:eastAsia="zh-CN"/>
        </w:rPr>
        <w:t>7.分解并认真落实本单位安全生产工作目标、指标和保障措施，制定本项目部各类安全生产工作计划并组织实施；</w:t>
      </w:r>
      <w:bookmarkEnd w:id="1108"/>
      <w:bookmarkEnd w:id="1109"/>
      <w:bookmarkEnd w:id="111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11" w:name="_Toc24333"/>
      <w:bookmarkStart w:id="1112" w:name="_Toc4825"/>
      <w:bookmarkStart w:id="1113" w:name="_Toc27476"/>
      <w:r>
        <w:rPr>
          <w:rFonts w:hint="eastAsia" w:asciiTheme="minorEastAsia" w:hAnsiTheme="minorEastAsia" w:eastAsiaTheme="minorEastAsia" w:cstheme="minorEastAsia"/>
          <w:b w:val="0"/>
          <w:bCs w:val="0"/>
          <w:sz w:val="24"/>
          <w:lang w:val="en-US" w:eastAsia="zh-CN"/>
        </w:rPr>
        <w:t>8.加强所辖生产及其他机械设备、设施的安全管理工作，特种设备及人员管理必须严格遵守相关法律法规；</w:t>
      </w:r>
      <w:bookmarkEnd w:id="1111"/>
      <w:bookmarkEnd w:id="1112"/>
      <w:bookmarkEnd w:id="1113"/>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14" w:name="_Toc16880"/>
      <w:bookmarkStart w:id="1115" w:name="_Toc13365"/>
      <w:bookmarkStart w:id="1116" w:name="_Toc4857"/>
      <w:r>
        <w:rPr>
          <w:rFonts w:hint="eastAsia" w:asciiTheme="minorEastAsia" w:hAnsiTheme="minorEastAsia" w:eastAsiaTheme="minorEastAsia" w:cstheme="minorEastAsia"/>
          <w:b w:val="0"/>
          <w:bCs w:val="0"/>
          <w:sz w:val="24"/>
          <w:lang w:val="en-US" w:eastAsia="zh-CN"/>
        </w:rPr>
        <w:t>9.持续开展风险分级管控和隐患排查治理双重预防机制建设和安全生产标准化建设，相关工作严格落实；</w:t>
      </w:r>
      <w:bookmarkEnd w:id="1114"/>
      <w:bookmarkEnd w:id="1115"/>
      <w:bookmarkEnd w:id="111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17" w:name="_Toc3710"/>
      <w:bookmarkStart w:id="1118" w:name="_Toc15988"/>
      <w:bookmarkStart w:id="1119" w:name="_Toc30782"/>
      <w:r>
        <w:rPr>
          <w:rFonts w:hint="eastAsia" w:asciiTheme="minorEastAsia" w:hAnsiTheme="minorEastAsia" w:eastAsiaTheme="minorEastAsia" w:cstheme="minorEastAsia"/>
          <w:b w:val="0"/>
          <w:bCs w:val="0"/>
          <w:sz w:val="24"/>
          <w:lang w:val="en-US" w:eastAsia="zh-CN"/>
        </w:rPr>
        <w:t>10.对项目部位安全风险进行全面辨识评估，制定、落实管控措施，建立危险源清单并及时更新；</w:t>
      </w:r>
      <w:bookmarkEnd w:id="1117"/>
      <w:bookmarkEnd w:id="1118"/>
      <w:bookmarkEnd w:id="111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20" w:name="_Toc23044"/>
      <w:bookmarkStart w:id="1121" w:name="_Toc30125"/>
      <w:bookmarkStart w:id="1122" w:name="_Toc10526"/>
      <w:r>
        <w:rPr>
          <w:rFonts w:hint="eastAsia" w:asciiTheme="minorEastAsia" w:hAnsiTheme="minorEastAsia" w:eastAsiaTheme="minorEastAsia" w:cstheme="minorEastAsia"/>
          <w:b w:val="0"/>
          <w:bCs w:val="0"/>
          <w:sz w:val="24"/>
          <w:lang w:val="en-US" w:eastAsia="zh-CN"/>
        </w:rPr>
        <w:t>11.在项目部办公区、生产作业区的显著位置设置安全风险分布图，在重点部位设置风险告知牌，对外来人员进行风险告知；</w:t>
      </w:r>
      <w:bookmarkEnd w:id="1120"/>
      <w:bookmarkEnd w:id="1121"/>
      <w:bookmarkEnd w:id="112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23" w:name="_Toc11091"/>
      <w:bookmarkStart w:id="1124" w:name="_Toc30863"/>
      <w:bookmarkStart w:id="1125" w:name="_Toc19811"/>
      <w:r>
        <w:rPr>
          <w:rFonts w:hint="eastAsia" w:asciiTheme="minorEastAsia" w:hAnsiTheme="minorEastAsia" w:eastAsiaTheme="minorEastAsia" w:cstheme="minorEastAsia"/>
          <w:b w:val="0"/>
          <w:bCs w:val="0"/>
          <w:sz w:val="24"/>
          <w:lang w:val="en-US" w:eastAsia="zh-CN"/>
        </w:rPr>
        <w:t>12.对项目部安全隐患定期排查，及时治理，实现闭环管理，建立隐患排查治理清单；不能及时排除或难度较大的隐患，及时上报；</w:t>
      </w:r>
      <w:bookmarkEnd w:id="1123"/>
      <w:bookmarkEnd w:id="1124"/>
      <w:bookmarkEnd w:id="112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26" w:name="_Toc223"/>
      <w:bookmarkStart w:id="1127" w:name="_Toc3001"/>
      <w:bookmarkStart w:id="1128" w:name="_Toc8419"/>
      <w:r>
        <w:rPr>
          <w:rFonts w:hint="eastAsia" w:asciiTheme="minorEastAsia" w:hAnsiTheme="minorEastAsia" w:eastAsiaTheme="minorEastAsia" w:cstheme="minorEastAsia"/>
          <w:b w:val="0"/>
          <w:bCs w:val="0"/>
          <w:sz w:val="24"/>
          <w:lang w:val="en-US" w:eastAsia="zh-CN"/>
        </w:rPr>
        <w:t>13.开展安全生产检查、巡查，制止和纠正违章指挥、强令冒险作业、违反操作规程等不安全行为；</w:t>
      </w:r>
      <w:bookmarkEnd w:id="1126"/>
      <w:bookmarkEnd w:id="1127"/>
      <w:bookmarkEnd w:id="112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29" w:name="_Toc30351"/>
      <w:bookmarkStart w:id="1130" w:name="_Toc28534"/>
      <w:bookmarkStart w:id="1131" w:name="_Toc17245"/>
      <w:r>
        <w:rPr>
          <w:rFonts w:hint="eastAsia" w:asciiTheme="minorEastAsia" w:hAnsiTheme="minorEastAsia" w:eastAsiaTheme="minorEastAsia" w:cstheme="minorEastAsia"/>
          <w:b w:val="0"/>
          <w:bCs w:val="0"/>
          <w:sz w:val="24"/>
          <w:lang w:val="en-US" w:eastAsia="zh-CN"/>
        </w:rPr>
        <w:t>14.保证项目部食品卫生安全，组织所属人员参加公司职业 健康培训和职业健康体检；</w:t>
      </w:r>
      <w:bookmarkEnd w:id="1129"/>
      <w:bookmarkEnd w:id="1130"/>
      <w:bookmarkEnd w:id="113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32" w:name="_Toc15967"/>
      <w:bookmarkStart w:id="1133" w:name="_Toc18305"/>
      <w:bookmarkStart w:id="1134" w:name="_Toc31300"/>
      <w:r>
        <w:rPr>
          <w:rFonts w:hint="eastAsia" w:asciiTheme="minorEastAsia" w:hAnsiTheme="minorEastAsia" w:eastAsiaTheme="minorEastAsia" w:cstheme="minorEastAsia"/>
          <w:b w:val="0"/>
          <w:bCs w:val="0"/>
          <w:sz w:val="24"/>
          <w:lang w:val="en-US" w:eastAsia="zh-CN"/>
        </w:rPr>
        <w:t>15.落实消防安全相关工作，保证所辖区域消防设施、设备 完好有效，建立项目部消防档案；</w:t>
      </w:r>
      <w:bookmarkEnd w:id="1132"/>
      <w:bookmarkEnd w:id="1133"/>
      <w:bookmarkEnd w:id="113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35" w:name="_Toc16711"/>
      <w:bookmarkStart w:id="1136" w:name="_Toc25801"/>
      <w:bookmarkStart w:id="1137" w:name="_Toc8757"/>
      <w:r>
        <w:rPr>
          <w:rFonts w:hint="eastAsia" w:asciiTheme="minorEastAsia" w:hAnsiTheme="minorEastAsia" w:eastAsiaTheme="minorEastAsia" w:cstheme="minorEastAsia"/>
          <w:b w:val="0"/>
          <w:bCs w:val="0"/>
          <w:sz w:val="24"/>
          <w:lang w:val="en-US" w:eastAsia="zh-CN"/>
        </w:rPr>
        <w:t>16.积极组织人员参加公司安全教育培训，制定项目部安全知识和安全操作技能教育培训计划并实施，对新入职和转岗员工进行本级安全教育培训，坚持未经培训考核合格人员不上岗；建立所属人员安全教育培训档案及本单位其他安全生产档案；</w:t>
      </w:r>
      <w:bookmarkEnd w:id="1135"/>
      <w:bookmarkEnd w:id="1136"/>
      <w:bookmarkEnd w:id="113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38" w:name="_Toc17294"/>
      <w:bookmarkStart w:id="1139" w:name="_Toc13454"/>
      <w:bookmarkStart w:id="1140" w:name="_Toc20259"/>
      <w:r>
        <w:rPr>
          <w:rFonts w:hint="eastAsia" w:asciiTheme="minorEastAsia" w:hAnsiTheme="minorEastAsia" w:eastAsiaTheme="minorEastAsia" w:cstheme="minorEastAsia"/>
          <w:b w:val="0"/>
          <w:bCs w:val="0"/>
          <w:sz w:val="24"/>
          <w:lang w:val="en-US" w:eastAsia="zh-CN"/>
        </w:rPr>
        <w:t>17.编制项目部应急预案、现场处置方案，并与公司应急预案良好衔接；组织或参与应急救援预案演练；</w:t>
      </w:r>
      <w:bookmarkEnd w:id="1138"/>
      <w:bookmarkEnd w:id="1139"/>
      <w:bookmarkEnd w:id="114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41" w:name="_Toc22177"/>
      <w:bookmarkStart w:id="1142" w:name="_Toc29231"/>
      <w:bookmarkStart w:id="1143" w:name="_Toc1463"/>
      <w:r>
        <w:rPr>
          <w:rFonts w:hint="eastAsia" w:asciiTheme="minorEastAsia" w:hAnsiTheme="minorEastAsia" w:eastAsiaTheme="minorEastAsia" w:cstheme="minorEastAsia"/>
          <w:b w:val="0"/>
          <w:bCs w:val="0"/>
          <w:sz w:val="24"/>
          <w:lang w:val="en-US" w:eastAsia="zh-CN"/>
        </w:rPr>
        <w:t>18. 建立项目部应急救援队伍，来应对项目各种突发事件（事故）的初期应急救援，参与所及的各种突发事件应急处置工作；</w:t>
      </w:r>
      <w:bookmarkEnd w:id="1141"/>
      <w:bookmarkEnd w:id="1142"/>
      <w:bookmarkEnd w:id="114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44" w:name="_Toc10419"/>
      <w:bookmarkStart w:id="1145" w:name="_Toc17773"/>
      <w:bookmarkStart w:id="1146" w:name="_Toc24322"/>
      <w:r>
        <w:rPr>
          <w:rFonts w:hint="eastAsia" w:asciiTheme="minorEastAsia" w:hAnsiTheme="minorEastAsia" w:eastAsiaTheme="minorEastAsia" w:cstheme="minorEastAsia"/>
          <w:b w:val="0"/>
          <w:bCs w:val="0"/>
          <w:sz w:val="24"/>
          <w:lang w:val="en-US" w:eastAsia="zh-CN"/>
        </w:rPr>
        <w:t>19. 按相关规定如实上报项目部发生的各种突发事件（事故）；</w:t>
      </w:r>
      <w:bookmarkEnd w:id="1144"/>
      <w:bookmarkEnd w:id="1145"/>
      <w:bookmarkEnd w:id="114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47" w:name="_Toc19523"/>
      <w:bookmarkStart w:id="1148" w:name="_Toc4134"/>
      <w:bookmarkStart w:id="1149" w:name="_Toc5221"/>
      <w:r>
        <w:rPr>
          <w:rFonts w:hint="eastAsia" w:asciiTheme="minorEastAsia" w:hAnsiTheme="minorEastAsia" w:eastAsiaTheme="minorEastAsia" w:cstheme="minorEastAsia"/>
          <w:b w:val="0"/>
          <w:bCs w:val="0"/>
          <w:sz w:val="24"/>
          <w:lang w:val="en-US" w:eastAsia="zh-CN"/>
        </w:rPr>
        <w:t>20.按要求上报数据、报表、总结等安全生产工作相关信息、文件，及时通报、传播安全生产信息，积极做好安全生产宣传工作，开展安全文化建设。</w:t>
      </w:r>
      <w:bookmarkEnd w:id="1147"/>
      <w:bookmarkEnd w:id="1148"/>
      <w:bookmarkEnd w:id="114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150" w:name="_Toc18481"/>
      <w:bookmarkStart w:id="1151" w:name="_Toc1954"/>
      <w:bookmarkStart w:id="1152" w:name="_Toc20417"/>
      <w:bookmarkStart w:id="1153" w:name="_Toc3471"/>
      <w:bookmarkStart w:id="1154" w:name="_Toc25071"/>
      <w:bookmarkStart w:id="1155" w:name="_Toc6403"/>
      <w:bookmarkStart w:id="1156" w:name="_Toc26653"/>
      <w:bookmarkStart w:id="1157" w:name="_Toc20481"/>
      <w:bookmarkStart w:id="1158" w:name="_Toc9248"/>
      <w:r>
        <w:rPr>
          <w:rFonts w:hint="eastAsia" w:asciiTheme="minorEastAsia" w:hAnsiTheme="minorEastAsia" w:eastAsiaTheme="minorEastAsia" w:cstheme="minorEastAsia"/>
          <w:b w:val="0"/>
          <w:bCs w:val="0"/>
          <w:sz w:val="24"/>
          <w:lang w:val="en-US" w:eastAsia="zh-CN"/>
        </w:rPr>
        <w:t>（二）、商务合约部安全生产职责</w:t>
      </w:r>
      <w:bookmarkEnd w:id="1150"/>
      <w:bookmarkEnd w:id="1151"/>
      <w:bookmarkEnd w:id="1152"/>
      <w:bookmarkEnd w:id="1153"/>
      <w:bookmarkEnd w:id="1154"/>
      <w:bookmarkEnd w:id="1155"/>
      <w:bookmarkEnd w:id="1156"/>
      <w:bookmarkEnd w:id="1157"/>
      <w:bookmarkEnd w:id="115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159" w:name="_Toc30399"/>
      <w:bookmarkStart w:id="1160" w:name="_Toc2099"/>
      <w:bookmarkStart w:id="1161" w:name="_Toc5053"/>
      <w:bookmarkStart w:id="1162" w:name="_Toc3254"/>
      <w:bookmarkStart w:id="1163" w:name="_Toc766"/>
      <w:bookmarkStart w:id="1164" w:name="_Toc15704"/>
      <w:bookmarkStart w:id="1165" w:name="_Toc27060"/>
      <w:r>
        <w:rPr>
          <w:rFonts w:hint="eastAsia" w:asciiTheme="minorEastAsia" w:hAnsiTheme="minorEastAsia" w:eastAsiaTheme="minorEastAsia" w:cstheme="minorEastAsia"/>
          <w:b w:val="0"/>
          <w:bCs w:val="0"/>
          <w:sz w:val="24"/>
          <w:lang w:val="en-US" w:eastAsia="zh-CN"/>
        </w:rPr>
        <w:t>1.实本部门业务工作中所涉及的安全生产责任；</w:t>
      </w:r>
      <w:bookmarkEnd w:id="1159"/>
      <w:bookmarkEnd w:id="1160"/>
      <w:bookmarkEnd w:id="1161"/>
      <w:bookmarkEnd w:id="1162"/>
      <w:bookmarkEnd w:id="1163"/>
      <w:bookmarkEnd w:id="1164"/>
      <w:bookmarkEnd w:id="116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66" w:name="_Toc26634"/>
      <w:bookmarkStart w:id="1167" w:name="_Toc2676"/>
      <w:bookmarkStart w:id="1168" w:name="_Toc10947"/>
      <w:r>
        <w:rPr>
          <w:rFonts w:hint="eastAsia" w:asciiTheme="minorEastAsia" w:hAnsiTheme="minorEastAsia" w:eastAsiaTheme="minorEastAsia" w:cstheme="minorEastAsia"/>
          <w:b w:val="0"/>
          <w:bCs w:val="0"/>
          <w:sz w:val="24"/>
          <w:lang w:val="en-US" w:eastAsia="zh-CN"/>
        </w:rPr>
        <w:t>2.贯彻落实安全生产法律法规、方针政策和公司安全生产规章制度；</w:t>
      </w:r>
      <w:bookmarkEnd w:id="1166"/>
      <w:bookmarkEnd w:id="1167"/>
      <w:bookmarkEnd w:id="116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169" w:name="_Toc30511"/>
      <w:bookmarkStart w:id="1170" w:name="_Toc19930"/>
      <w:bookmarkStart w:id="1171" w:name="_Toc14355"/>
      <w:bookmarkStart w:id="1172" w:name="_Toc18165"/>
      <w:bookmarkStart w:id="1173" w:name="_Toc16496"/>
      <w:bookmarkStart w:id="1174" w:name="_Toc11583"/>
      <w:bookmarkStart w:id="1175" w:name="_Toc8802"/>
      <w:r>
        <w:rPr>
          <w:rFonts w:hint="eastAsia" w:asciiTheme="minorEastAsia" w:hAnsiTheme="minorEastAsia" w:eastAsiaTheme="minorEastAsia" w:cstheme="minorEastAsia"/>
          <w:b w:val="0"/>
          <w:bCs w:val="0"/>
          <w:sz w:val="24"/>
          <w:lang w:val="en-US" w:eastAsia="zh-CN"/>
        </w:rPr>
        <w:t>3.分解并认真落实本部门安全生产工作目标、指标和保障措施；</w:t>
      </w:r>
      <w:bookmarkEnd w:id="1169"/>
      <w:bookmarkEnd w:id="1170"/>
      <w:bookmarkEnd w:id="1171"/>
      <w:bookmarkEnd w:id="1172"/>
      <w:bookmarkEnd w:id="1173"/>
      <w:bookmarkEnd w:id="1174"/>
      <w:bookmarkEnd w:id="117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76" w:name="_Toc30606"/>
      <w:bookmarkStart w:id="1177" w:name="_Toc18243"/>
      <w:bookmarkStart w:id="1178" w:name="_Toc7988"/>
      <w:r>
        <w:rPr>
          <w:rFonts w:hint="eastAsia" w:asciiTheme="minorEastAsia" w:hAnsiTheme="minorEastAsia" w:eastAsiaTheme="minorEastAsia" w:cstheme="minorEastAsia"/>
          <w:b w:val="0"/>
          <w:bCs w:val="0"/>
          <w:sz w:val="24"/>
          <w:lang w:val="en-US" w:eastAsia="zh-CN"/>
        </w:rPr>
        <w:t>4.充分掌控业务工作中有关安全生产（制造、经营）许可情况及有关合同条款，防范安全风险；</w:t>
      </w:r>
      <w:bookmarkEnd w:id="1176"/>
      <w:bookmarkEnd w:id="1177"/>
      <w:bookmarkEnd w:id="117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79" w:name="_Toc3797"/>
      <w:bookmarkStart w:id="1180" w:name="_Toc27148"/>
      <w:bookmarkStart w:id="1181" w:name="_Toc17018"/>
      <w:r>
        <w:rPr>
          <w:rFonts w:hint="eastAsia" w:asciiTheme="minorEastAsia" w:hAnsiTheme="minorEastAsia" w:eastAsiaTheme="minorEastAsia" w:cstheme="minorEastAsia"/>
          <w:b w:val="0"/>
          <w:bCs w:val="0"/>
          <w:sz w:val="24"/>
          <w:lang w:val="en-US" w:eastAsia="zh-CN"/>
        </w:rPr>
        <w:t>5.积极参加项目部安全生产会议，及时传达、组织本部门学习并贯彻落实安全生产工作文件和通知；</w:t>
      </w:r>
      <w:bookmarkEnd w:id="1179"/>
      <w:bookmarkEnd w:id="1180"/>
      <w:bookmarkEnd w:id="118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82" w:name="_Toc24797"/>
      <w:bookmarkStart w:id="1183" w:name="_Toc29589"/>
      <w:bookmarkStart w:id="1184" w:name="_Toc2625"/>
      <w:r>
        <w:rPr>
          <w:rFonts w:hint="eastAsia" w:asciiTheme="minorEastAsia" w:hAnsiTheme="minorEastAsia" w:eastAsiaTheme="minorEastAsia" w:cstheme="minorEastAsia"/>
          <w:b w:val="0"/>
          <w:bCs w:val="0"/>
          <w:sz w:val="24"/>
          <w:lang w:val="en-US" w:eastAsia="zh-CN"/>
        </w:rPr>
        <w:t>6.负责对本部门的风险源进行辨识和风险评估，并制定相应的控制措施，将风险源纳入到日常安全检查中，积极落实整改措施。对风险源和易发事故的重点部位实施有效监测、监控，落实重点部位、重点岗位应急措施。</w:t>
      </w:r>
      <w:bookmarkEnd w:id="1182"/>
      <w:bookmarkEnd w:id="1183"/>
      <w:bookmarkEnd w:id="118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185" w:name="_Toc10864"/>
      <w:bookmarkStart w:id="1186" w:name="_Toc10743"/>
      <w:bookmarkStart w:id="1187" w:name="_Toc16063"/>
      <w:bookmarkStart w:id="1188" w:name="_Toc9682"/>
      <w:bookmarkStart w:id="1189" w:name="_Toc17563"/>
      <w:bookmarkStart w:id="1190" w:name="_Toc10528"/>
      <w:bookmarkStart w:id="1191" w:name="_Toc2222"/>
      <w:r>
        <w:rPr>
          <w:rFonts w:hint="eastAsia" w:asciiTheme="minorEastAsia" w:hAnsiTheme="minorEastAsia" w:eastAsiaTheme="minorEastAsia" w:cstheme="minorEastAsia"/>
          <w:b w:val="0"/>
          <w:bCs w:val="0"/>
          <w:sz w:val="24"/>
          <w:lang w:val="en-US" w:eastAsia="zh-CN"/>
        </w:rPr>
        <w:t>7.对本部门办公室消防等各种安全隐患进行日常排查，及时治理；</w:t>
      </w:r>
      <w:bookmarkEnd w:id="1185"/>
      <w:bookmarkEnd w:id="1186"/>
      <w:bookmarkEnd w:id="1187"/>
      <w:bookmarkEnd w:id="1188"/>
      <w:bookmarkEnd w:id="1189"/>
      <w:bookmarkEnd w:id="1190"/>
      <w:bookmarkEnd w:id="119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92" w:name="_Toc9363"/>
      <w:bookmarkStart w:id="1193" w:name="_Toc11619"/>
      <w:bookmarkStart w:id="1194" w:name="_Toc9415"/>
      <w:r>
        <w:rPr>
          <w:rFonts w:hint="eastAsia" w:asciiTheme="minorEastAsia" w:hAnsiTheme="minorEastAsia" w:eastAsiaTheme="minorEastAsia" w:cstheme="minorEastAsia"/>
          <w:b w:val="0"/>
          <w:bCs w:val="0"/>
          <w:sz w:val="24"/>
          <w:lang w:val="en-US" w:eastAsia="zh-CN"/>
        </w:rPr>
        <w:t>8.积极参加项目部各类安全教育培训，组织本部门安全教育培训，建立本部室人员安全教育培训档案及其他安全管理档案；</w:t>
      </w:r>
      <w:bookmarkEnd w:id="1192"/>
      <w:bookmarkEnd w:id="1193"/>
      <w:bookmarkEnd w:id="119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95" w:name="_Toc6867"/>
      <w:bookmarkStart w:id="1196" w:name="_Toc514"/>
      <w:bookmarkStart w:id="1197" w:name="_Toc14066"/>
      <w:r>
        <w:rPr>
          <w:rFonts w:hint="eastAsia" w:asciiTheme="minorEastAsia" w:hAnsiTheme="minorEastAsia" w:eastAsiaTheme="minorEastAsia" w:cstheme="minorEastAsia"/>
          <w:b w:val="0"/>
          <w:bCs w:val="0"/>
          <w:sz w:val="24"/>
          <w:lang w:val="en-US" w:eastAsia="zh-CN"/>
        </w:rPr>
        <w:t>9.识别搜集本部室业务范围相关安全生产法律法规、标准规范，建立台账，及时更新，参加相关评估工作；</w:t>
      </w:r>
      <w:bookmarkEnd w:id="1195"/>
      <w:bookmarkEnd w:id="1196"/>
      <w:bookmarkEnd w:id="119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198" w:name="_Toc20046"/>
      <w:bookmarkStart w:id="1199" w:name="_Toc10706"/>
      <w:bookmarkStart w:id="1200" w:name="_Toc19804"/>
      <w:r>
        <w:rPr>
          <w:rFonts w:hint="eastAsia" w:asciiTheme="minorEastAsia" w:hAnsiTheme="minorEastAsia" w:eastAsiaTheme="minorEastAsia" w:cstheme="minorEastAsia"/>
          <w:b w:val="0"/>
          <w:bCs w:val="0"/>
          <w:sz w:val="24"/>
          <w:lang w:val="en-US" w:eastAsia="zh-CN"/>
        </w:rPr>
        <w:t>10.根据项目部应急指挥部指令，参加项目部应急救援工作；</w:t>
      </w:r>
      <w:bookmarkEnd w:id="1198"/>
      <w:bookmarkEnd w:id="1199"/>
      <w:bookmarkEnd w:id="120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01" w:name="_Toc5073"/>
      <w:bookmarkStart w:id="1202" w:name="_Toc384"/>
      <w:bookmarkStart w:id="1203" w:name="_Toc4197"/>
      <w:r>
        <w:rPr>
          <w:rFonts w:hint="eastAsia" w:asciiTheme="minorEastAsia" w:hAnsiTheme="minorEastAsia" w:eastAsiaTheme="minorEastAsia" w:cstheme="minorEastAsia"/>
          <w:b w:val="0"/>
          <w:bCs w:val="0"/>
          <w:sz w:val="24"/>
          <w:lang w:val="en-US" w:eastAsia="zh-CN"/>
        </w:rPr>
        <w:t>11.参加项目部对现行安全生产管理制度的评估工作。</w:t>
      </w:r>
      <w:bookmarkEnd w:id="1201"/>
      <w:bookmarkEnd w:id="1202"/>
      <w:bookmarkEnd w:id="120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204" w:name="_Toc5580"/>
      <w:bookmarkStart w:id="1205" w:name="_Toc30223"/>
      <w:bookmarkStart w:id="1206" w:name="_Toc6238"/>
      <w:bookmarkStart w:id="1207" w:name="_Toc31617"/>
      <w:bookmarkStart w:id="1208" w:name="_Toc12006"/>
      <w:bookmarkStart w:id="1209" w:name="_Toc5862"/>
      <w:bookmarkStart w:id="1210" w:name="_Toc9271"/>
      <w:bookmarkStart w:id="1211" w:name="_Toc23427"/>
      <w:r>
        <w:rPr>
          <w:rFonts w:hint="eastAsia" w:asciiTheme="minorEastAsia" w:hAnsiTheme="minorEastAsia" w:eastAsiaTheme="minorEastAsia" w:cstheme="minorEastAsia"/>
          <w:b w:val="0"/>
          <w:bCs w:val="0"/>
          <w:sz w:val="24"/>
          <w:lang w:val="en-US" w:eastAsia="zh-CN"/>
        </w:rPr>
        <w:t>（三）、工程技术部安全生产职责</w:t>
      </w:r>
      <w:bookmarkEnd w:id="1204"/>
      <w:bookmarkEnd w:id="1205"/>
      <w:bookmarkEnd w:id="1206"/>
      <w:bookmarkEnd w:id="1207"/>
      <w:bookmarkEnd w:id="1208"/>
      <w:bookmarkEnd w:id="1209"/>
      <w:bookmarkEnd w:id="1210"/>
      <w:bookmarkEnd w:id="121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12" w:name="_Toc16068"/>
      <w:bookmarkStart w:id="1213" w:name="_Toc13682"/>
      <w:r>
        <w:rPr>
          <w:rFonts w:hint="eastAsia" w:asciiTheme="minorEastAsia" w:hAnsiTheme="minorEastAsia" w:eastAsiaTheme="minorEastAsia" w:cstheme="minorEastAsia"/>
          <w:b w:val="0"/>
          <w:bCs w:val="0"/>
          <w:sz w:val="24"/>
          <w:lang w:val="en-US" w:eastAsia="zh-CN"/>
        </w:rPr>
        <w:t>1.贯彻落实安全生产法律法规、方针政策和项目部安全生产规章制度，及时传达、组织本部门学习并贯彻落实安全生产工作文件和通知；</w:t>
      </w:r>
      <w:bookmarkEnd w:id="1212"/>
      <w:bookmarkEnd w:id="121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214" w:name="_Toc10098"/>
      <w:bookmarkStart w:id="1215" w:name="_Toc10129"/>
      <w:bookmarkStart w:id="1216" w:name="_Toc3454"/>
      <w:bookmarkStart w:id="1217" w:name="_Toc27208"/>
      <w:bookmarkStart w:id="1218" w:name="_Toc30508"/>
      <w:bookmarkStart w:id="1219" w:name="_Toc30712"/>
      <w:bookmarkStart w:id="1220" w:name="_Toc10033"/>
      <w:r>
        <w:rPr>
          <w:rFonts w:hint="eastAsia" w:asciiTheme="minorEastAsia" w:hAnsiTheme="minorEastAsia" w:eastAsiaTheme="minorEastAsia" w:cstheme="minorEastAsia"/>
          <w:b w:val="0"/>
          <w:bCs w:val="0"/>
          <w:sz w:val="24"/>
          <w:lang w:val="en-US" w:eastAsia="zh-CN"/>
        </w:rPr>
        <w:t>2.分解并认真落实本部门安全生产工作目标、指标和保障措施；</w:t>
      </w:r>
      <w:bookmarkEnd w:id="1214"/>
      <w:bookmarkEnd w:id="1215"/>
      <w:bookmarkEnd w:id="1216"/>
      <w:bookmarkEnd w:id="1217"/>
      <w:bookmarkEnd w:id="1218"/>
      <w:bookmarkEnd w:id="1219"/>
      <w:bookmarkEnd w:id="122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21" w:name="_Toc9215"/>
      <w:bookmarkStart w:id="1222" w:name="_Toc16037"/>
      <w:bookmarkStart w:id="1223" w:name="_Toc22675"/>
      <w:r>
        <w:rPr>
          <w:rFonts w:hint="eastAsia" w:asciiTheme="minorEastAsia" w:hAnsiTheme="minorEastAsia" w:eastAsiaTheme="minorEastAsia" w:cstheme="minorEastAsia"/>
          <w:b w:val="0"/>
          <w:bCs w:val="0"/>
          <w:sz w:val="24"/>
          <w:lang w:val="en-US" w:eastAsia="zh-CN"/>
        </w:rPr>
        <w:t>3.督导项目部根据《公路工程施工安全技术规范》JTG F90-2015对公路工程危险性较大的分部分项工程的专项施工方案评估或专家论证执行情况；督导项目部及时将结果向安全管理部备案；</w:t>
      </w:r>
      <w:bookmarkEnd w:id="1221"/>
      <w:bookmarkEnd w:id="1222"/>
      <w:bookmarkEnd w:id="12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24" w:name="_Toc11229"/>
      <w:bookmarkStart w:id="1225" w:name="_Toc14813"/>
      <w:bookmarkStart w:id="1226" w:name="_Toc7744"/>
      <w:r>
        <w:rPr>
          <w:rFonts w:hint="eastAsia" w:asciiTheme="minorEastAsia" w:hAnsiTheme="minorEastAsia" w:eastAsiaTheme="minorEastAsia" w:cstheme="minorEastAsia"/>
          <w:b w:val="0"/>
          <w:bCs w:val="0"/>
          <w:sz w:val="24"/>
          <w:lang w:val="en-US" w:eastAsia="zh-CN"/>
        </w:rPr>
        <w:t>4.进行生产技术革新和改造时，要同时进行安全技术研究，改善劳动条件和劳动环境，实现安全文明生产；</w:t>
      </w:r>
      <w:bookmarkEnd w:id="1224"/>
      <w:bookmarkEnd w:id="1225"/>
      <w:bookmarkEnd w:id="122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27" w:name="_Toc9889"/>
      <w:bookmarkStart w:id="1228" w:name="_Toc22974"/>
      <w:bookmarkStart w:id="1229" w:name="_Toc1286"/>
      <w:r>
        <w:rPr>
          <w:rFonts w:hint="eastAsia" w:asciiTheme="minorEastAsia" w:hAnsiTheme="minorEastAsia" w:eastAsiaTheme="minorEastAsia" w:cstheme="minorEastAsia"/>
          <w:b w:val="0"/>
          <w:bCs w:val="0"/>
          <w:sz w:val="24"/>
          <w:lang w:val="en-US" w:eastAsia="zh-CN"/>
        </w:rPr>
        <w:t>5.督导项目部加强对业务范围内专业分包、劳务分包等相关方安全管理，监督相关方安全资质审核、安全协议签订，向安全管理部备案；</w:t>
      </w:r>
      <w:bookmarkEnd w:id="1227"/>
      <w:bookmarkEnd w:id="1228"/>
      <w:bookmarkEnd w:id="122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30" w:name="_Toc3280"/>
      <w:bookmarkStart w:id="1231" w:name="_Toc7787"/>
      <w:bookmarkStart w:id="1232" w:name="_Toc11491"/>
      <w:r>
        <w:rPr>
          <w:rFonts w:hint="eastAsia" w:asciiTheme="minorEastAsia" w:hAnsiTheme="minorEastAsia" w:eastAsiaTheme="minorEastAsia" w:cstheme="minorEastAsia"/>
          <w:b w:val="0"/>
          <w:bCs w:val="0"/>
          <w:sz w:val="24"/>
          <w:lang w:val="en-US" w:eastAsia="zh-CN"/>
        </w:rPr>
        <w:t>6.协助项目部制定安全生产规章制度类文件，参与编制项目部生产安全事故专项应急救援预案、重大气象灾害专项应急救援预案；</w:t>
      </w:r>
      <w:bookmarkEnd w:id="1230"/>
      <w:bookmarkEnd w:id="1231"/>
      <w:bookmarkEnd w:id="123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33" w:name="_Toc24891"/>
      <w:bookmarkStart w:id="1234" w:name="_Toc25007"/>
      <w:bookmarkStart w:id="1235" w:name="_Toc6646"/>
      <w:r>
        <w:rPr>
          <w:rFonts w:hint="eastAsia" w:asciiTheme="minorEastAsia" w:hAnsiTheme="minorEastAsia" w:eastAsiaTheme="minorEastAsia" w:cstheme="minorEastAsia"/>
          <w:b w:val="0"/>
          <w:bCs w:val="0"/>
          <w:sz w:val="24"/>
          <w:lang w:val="en-US" w:eastAsia="zh-CN"/>
        </w:rPr>
        <w:t>7.积极参加项目部安全生产会议,落实会议要求；组织本部门安全生产会议并监督落实；</w:t>
      </w:r>
      <w:bookmarkEnd w:id="1233"/>
      <w:bookmarkEnd w:id="1234"/>
      <w:bookmarkEnd w:id="123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36" w:name="_Toc13039"/>
      <w:bookmarkStart w:id="1237" w:name="_Toc26180"/>
      <w:bookmarkStart w:id="1238" w:name="_Toc31021"/>
      <w:r>
        <w:rPr>
          <w:rFonts w:hint="eastAsia" w:asciiTheme="minorEastAsia" w:hAnsiTheme="minorEastAsia" w:eastAsiaTheme="minorEastAsia" w:cstheme="minorEastAsia"/>
          <w:b w:val="0"/>
          <w:bCs w:val="0"/>
          <w:sz w:val="24"/>
          <w:lang w:val="en-US" w:eastAsia="zh-CN"/>
        </w:rPr>
        <w:t>8.负责对本部门的风险源进行辨识和风险评估，并制定相应的控制措施，将风险源纳入到日常安全检查中，积极落实整  改措施。对风险源和易发事故的重点部位实施有效监测、监控，落实重点部位、重点岗位应急措施。</w:t>
      </w:r>
      <w:bookmarkEnd w:id="1236"/>
      <w:bookmarkEnd w:id="1237"/>
      <w:bookmarkEnd w:id="123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239" w:name="_Toc25942"/>
      <w:bookmarkStart w:id="1240" w:name="_Toc10980"/>
      <w:bookmarkStart w:id="1241" w:name="_Toc15612"/>
      <w:bookmarkStart w:id="1242" w:name="_Toc1604"/>
      <w:bookmarkStart w:id="1243" w:name="_Toc14800"/>
      <w:bookmarkStart w:id="1244" w:name="_Toc9885"/>
      <w:bookmarkStart w:id="1245" w:name="_Toc12652"/>
      <w:r>
        <w:rPr>
          <w:rFonts w:hint="eastAsia" w:asciiTheme="minorEastAsia" w:hAnsiTheme="minorEastAsia" w:eastAsiaTheme="minorEastAsia" w:cstheme="minorEastAsia"/>
          <w:b w:val="0"/>
          <w:bCs w:val="0"/>
          <w:sz w:val="24"/>
          <w:lang w:val="en-US" w:eastAsia="zh-CN"/>
        </w:rPr>
        <w:t>9.对本部门办公室消防等各种安全隐患进行日常排查，及时治理；</w:t>
      </w:r>
      <w:bookmarkEnd w:id="1239"/>
      <w:bookmarkEnd w:id="1240"/>
      <w:bookmarkEnd w:id="1241"/>
      <w:bookmarkEnd w:id="1242"/>
      <w:bookmarkEnd w:id="1243"/>
      <w:bookmarkEnd w:id="1244"/>
      <w:bookmarkEnd w:id="124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46" w:name="_Toc8087"/>
      <w:bookmarkStart w:id="1247" w:name="_Toc13771"/>
      <w:bookmarkStart w:id="1248" w:name="_Toc13492"/>
      <w:r>
        <w:rPr>
          <w:rFonts w:hint="eastAsia" w:asciiTheme="minorEastAsia" w:hAnsiTheme="minorEastAsia" w:eastAsiaTheme="minorEastAsia" w:cstheme="minorEastAsia"/>
          <w:b w:val="0"/>
          <w:bCs w:val="0"/>
          <w:sz w:val="24"/>
          <w:lang w:val="en-US" w:eastAsia="zh-CN"/>
        </w:rPr>
        <w:t>10.在公司应急指挥部领导下，履行生产安全事故、重大气象灾害专项应急指挥办公室职责，参与各种突发事件的应急处置工作；</w:t>
      </w:r>
      <w:bookmarkEnd w:id="1246"/>
      <w:bookmarkEnd w:id="1247"/>
      <w:bookmarkEnd w:id="124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49" w:name="_Toc14295"/>
      <w:bookmarkStart w:id="1250" w:name="_Toc13021"/>
      <w:r>
        <w:rPr>
          <w:rFonts w:hint="eastAsia" w:asciiTheme="minorEastAsia" w:hAnsiTheme="minorEastAsia" w:eastAsiaTheme="minorEastAsia" w:cstheme="minorEastAsia"/>
          <w:b w:val="0"/>
          <w:bCs w:val="0"/>
          <w:sz w:val="24"/>
          <w:lang w:val="en-US" w:eastAsia="zh-CN"/>
        </w:rPr>
        <w:t>11.参与本项目部基建项目生产安全事故调查，配合完成事故调查上报工作；</w:t>
      </w:r>
      <w:bookmarkEnd w:id="1249"/>
      <w:bookmarkEnd w:id="125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51" w:name="_Toc28149"/>
      <w:bookmarkStart w:id="1252" w:name="_Toc24382"/>
      <w:bookmarkStart w:id="1253" w:name="_Toc16390"/>
      <w:r>
        <w:rPr>
          <w:rFonts w:hint="eastAsia" w:asciiTheme="minorEastAsia" w:hAnsiTheme="minorEastAsia" w:eastAsiaTheme="minorEastAsia" w:cstheme="minorEastAsia"/>
          <w:b w:val="0"/>
          <w:bCs w:val="0"/>
          <w:sz w:val="24"/>
          <w:lang w:val="en-US" w:eastAsia="zh-CN"/>
        </w:rPr>
        <w:t>12.积极参加项目部各类安全教育培训，组织本部门安全教育培训，建立本部门人员安全教育培训档案；</w:t>
      </w:r>
      <w:bookmarkEnd w:id="1251"/>
      <w:bookmarkEnd w:id="1252"/>
      <w:bookmarkEnd w:id="125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54" w:name="_Toc7111"/>
      <w:bookmarkStart w:id="1255" w:name="_Toc23645"/>
      <w:bookmarkStart w:id="1256" w:name="_Toc23176"/>
      <w:r>
        <w:rPr>
          <w:rFonts w:hint="eastAsia" w:asciiTheme="minorEastAsia" w:hAnsiTheme="minorEastAsia" w:eastAsiaTheme="minorEastAsia" w:cstheme="minorEastAsia"/>
          <w:b w:val="0"/>
          <w:bCs w:val="0"/>
          <w:sz w:val="24"/>
          <w:lang w:val="en-US" w:eastAsia="zh-CN"/>
        </w:rPr>
        <w:t>13.识别搜集本部门职责范围内的安全生产法律法规、标准规范，建立台账，及时更新，参加相关评估工作；</w:t>
      </w:r>
      <w:bookmarkEnd w:id="1254"/>
      <w:bookmarkEnd w:id="1255"/>
      <w:bookmarkEnd w:id="125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257" w:name="_Toc31618"/>
      <w:bookmarkStart w:id="1258" w:name="_Toc7044"/>
      <w:bookmarkStart w:id="1259" w:name="_Toc2323"/>
      <w:bookmarkStart w:id="1260" w:name="_Toc10734"/>
      <w:bookmarkStart w:id="1261" w:name="_Toc8595"/>
      <w:bookmarkStart w:id="1262" w:name="_Toc18522"/>
      <w:bookmarkStart w:id="1263" w:name="_Toc10717"/>
      <w:r>
        <w:rPr>
          <w:rFonts w:hint="eastAsia" w:asciiTheme="minorEastAsia" w:hAnsiTheme="minorEastAsia" w:eastAsiaTheme="minorEastAsia" w:cstheme="minorEastAsia"/>
          <w:b w:val="0"/>
          <w:bCs w:val="0"/>
          <w:sz w:val="24"/>
          <w:lang w:val="en-US" w:eastAsia="zh-CN"/>
        </w:rPr>
        <w:t>14.参加项目部对现行安全生产管理制度、操作规程的评估工作。</w:t>
      </w:r>
      <w:bookmarkEnd w:id="1257"/>
      <w:bookmarkEnd w:id="1258"/>
      <w:bookmarkEnd w:id="1259"/>
      <w:bookmarkEnd w:id="1260"/>
      <w:bookmarkEnd w:id="1261"/>
      <w:bookmarkEnd w:id="1262"/>
      <w:bookmarkEnd w:id="126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264" w:name="_Toc26013"/>
      <w:bookmarkStart w:id="1265" w:name="_Toc830"/>
      <w:bookmarkStart w:id="1266" w:name="_Toc29290"/>
      <w:bookmarkStart w:id="1267" w:name="_Toc22063"/>
      <w:bookmarkStart w:id="1268" w:name="_Toc24705"/>
      <w:bookmarkStart w:id="1269" w:name="_Toc2032"/>
      <w:bookmarkStart w:id="1270" w:name="_Toc28512"/>
      <w:bookmarkStart w:id="1271" w:name="_Toc29199"/>
      <w:r>
        <w:rPr>
          <w:rFonts w:hint="eastAsia" w:asciiTheme="minorEastAsia" w:hAnsiTheme="minorEastAsia" w:eastAsiaTheme="minorEastAsia" w:cstheme="minorEastAsia"/>
          <w:b w:val="0"/>
          <w:bCs w:val="0"/>
          <w:sz w:val="24"/>
          <w:lang w:val="en-US" w:eastAsia="zh-CN"/>
        </w:rPr>
        <w:t>（四）、财务部安全生产职责</w:t>
      </w:r>
      <w:bookmarkEnd w:id="1264"/>
      <w:bookmarkEnd w:id="1265"/>
      <w:bookmarkEnd w:id="1266"/>
      <w:bookmarkEnd w:id="1267"/>
      <w:bookmarkEnd w:id="1268"/>
      <w:bookmarkEnd w:id="1269"/>
      <w:bookmarkEnd w:id="1270"/>
      <w:bookmarkEnd w:id="127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72" w:name="_Toc11217"/>
      <w:bookmarkStart w:id="1273" w:name="_Toc6966"/>
      <w:bookmarkStart w:id="1274" w:name="_Toc27190"/>
      <w:r>
        <w:rPr>
          <w:rFonts w:hint="eastAsia" w:asciiTheme="minorEastAsia" w:hAnsiTheme="minorEastAsia" w:eastAsiaTheme="minorEastAsia" w:cstheme="minorEastAsia"/>
          <w:b w:val="0"/>
          <w:bCs w:val="0"/>
          <w:sz w:val="24"/>
          <w:lang w:val="en-US" w:eastAsia="zh-CN"/>
        </w:rPr>
        <w:t>1.贯彻落实安全生产法律法规、方针政策和项目部安全生产规章制度；</w:t>
      </w:r>
      <w:bookmarkEnd w:id="1272"/>
      <w:bookmarkEnd w:id="1273"/>
      <w:bookmarkEnd w:id="127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75" w:name="_Toc14420"/>
      <w:bookmarkStart w:id="1276" w:name="_Toc4087"/>
      <w:bookmarkStart w:id="1277" w:name="_Toc19809"/>
      <w:r>
        <w:rPr>
          <w:rFonts w:hint="eastAsia" w:asciiTheme="minorEastAsia" w:hAnsiTheme="minorEastAsia" w:eastAsiaTheme="minorEastAsia" w:cstheme="minorEastAsia"/>
          <w:b w:val="0"/>
          <w:bCs w:val="0"/>
          <w:sz w:val="24"/>
          <w:lang w:val="en-US" w:eastAsia="zh-CN"/>
        </w:rPr>
        <w:t>2.落实财务工作中所涉及的安全生产职责；</w:t>
      </w:r>
      <w:bookmarkEnd w:id="1275"/>
      <w:bookmarkEnd w:id="1276"/>
      <w:bookmarkEnd w:id="127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78" w:name="_Toc13591"/>
      <w:bookmarkStart w:id="1279" w:name="_Toc8333"/>
      <w:bookmarkStart w:id="1280" w:name="_Toc25556"/>
      <w:r>
        <w:rPr>
          <w:rFonts w:hint="eastAsia" w:asciiTheme="minorEastAsia" w:hAnsiTheme="minorEastAsia" w:eastAsiaTheme="minorEastAsia" w:cstheme="minorEastAsia"/>
          <w:b w:val="0"/>
          <w:bCs w:val="0"/>
          <w:sz w:val="24"/>
          <w:lang w:val="en-US" w:eastAsia="zh-CN"/>
        </w:rPr>
        <w:t>3.负责落实本部门相关安全管理措施；</w:t>
      </w:r>
      <w:bookmarkEnd w:id="1278"/>
      <w:bookmarkEnd w:id="1279"/>
      <w:bookmarkEnd w:id="128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81" w:name="_Toc30957"/>
      <w:bookmarkStart w:id="1282" w:name="_Toc1744"/>
      <w:bookmarkStart w:id="1283" w:name="_Toc13091"/>
      <w:r>
        <w:rPr>
          <w:rFonts w:hint="eastAsia" w:asciiTheme="minorEastAsia" w:hAnsiTheme="minorEastAsia" w:eastAsiaTheme="minorEastAsia" w:cstheme="minorEastAsia"/>
          <w:b w:val="0"/>
          <w:bCs w:val="0"/>
          <w:sz w:val="24"/>
          <w:lang w:val="en-US" w:eastAsia="zh-CN"/>
        </w:rPr>
        <w:t>4.协助制定并执行项目部安全生产费用管理制度，明确安全费用提取和使用的程序、职责及权限；</w:t>
      </w:r>
      <w:bookmarkEnd w:id="1281"/>
      <w:bookmarkEnd w:id="1282"/>
      <w:bookmarkEnd w:id="128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84" w:name="_Toc14415"/>
      <w:bookmarkStart w:id="1285" w:name="_Toc7102"/>
      <w:bookmarkStart w:id="1286" w:name="_Toc31755"/>
      <w:r>
        <w:rPr>
          <w:rFonts w:hint="eastAsia" w:asciiTheme="minorEastAsia" w:hAnsiTheme="minorEastAsia" w:eastAsiaTheme="minorEastAsia" w:cstheme="minorEastAsia"/>
          <w:b w:val="0"/>
          <w:bCs w:val="0"/>
          <w:sz w:val="24"/>
          <w:lang w:val="en-US" w:eastAsia="zh-CN"/>
        </w:rPr>
        <w:t>5.协同项目部安全管理部本拟定项目部年度安全生产费用投入计划，纳入企业财务预算，按规定提取和使用，专户核算，不得挤占、挪用；</w:t>
      </w:r>
      <w:bookmarkEnd w:id="1284"/>
      <w:bookmarkEnd w:id="1285"/>
      <w:bookmarkEnd w:id="128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87" w:name="_Toc21061"/>
      <w:bookmarkStart w:id="1288" w:name="_Toc30281"/>
      <w:bookmarkStart w:id="1289" w:name="_Toc11308"/>
      <w:r>
        <w:rPr>
          <w:rFonts w:hint="eastAsia" w:asciiTheme="minorEastAsia" w:hAnsiTheme="minorEastAsia" w:eastAsiaTheme="minorEastAsia" w:cstheme="minorEastAsia"/>
          <w:b w:val="0"/>
          <w:bCs w:val="0"/>
          <w:sz w:val="24"/>
          <w:lang w:val="en-US" w:eastAsia="zh-CN"/>
        </w:rPr>
        <w:t>6.安全费用的会计处理，应当符合国家会计制度的规定；</w:t>
      </w:r>
      <w:bookmarkEnd w:id="1287"/>
      <w:bookmarkEnd w:id="1288"/>
      <w:bookmarkEnd w:id="128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90" w:name="_Toc21486"/>
      <w:bookmarkStart w:id="1291" w:name="_Toc28793"/>
      <w:bookmarkStart w:id="1292" w:name="_Toc17376"/>
      <w:r>
        <w:rPr>
          <w:rFonts w:hint="eastAsia" w:asciiTheme="minorEastAsia" w:hAnsiTheme="minorEastAsia" w:eastAsiaTheme="minorEastAsia" w:cstheme="minorEastAsia"/>
          <w:b w:val="0"/>
          <w:bCs w:val="0"/>
          <w:sz w:val="24"/>
          <w:lang w:val="en-US" w:eastAsia="zh-CN"/>
        </w:rPr>
        <w:t>7.分解并认真落实本部门安全生产工作目标、指标和保障措施；</w:t>
      </w:r>
      <w:bookmarkEnd w:id="1290"/>
      <w:bookmarkEnd w:id="1291"/>
      <w:bookmarkEnd w:id="129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93" w:name="_Toc6309"/>
      <w:bookmarkStart w:id="1294" w:name="_Toc22806"/>
      <w:bookmarkStart w:id="1295" w:name="_Toc13463"/>
      <w:r>
        <w:rPr>
          <w:rFonts w:hint="eastAsia" w:asciiTheme="minorEastAsia" w:hAnsiTheme="minorEastAsia" w:eastAsiaTheme="minorEastAsia" w:cstheme="minorEastAsia"/>
          <w:b w:val="0"/>
          <w:bCs w:val="0"/>
          <w:sz w:val="24"/>
          <w:lang w:val="en-US" w:eastAsia="zh-CN"/>
        </w:rPr>
        <w:t>8.积极参加项目部安全生产会议，及时传达、学习并贯彻落实安全生产工作文件和通知；</w:t>
      </w:r>
      <w:bookmarkEnd w:id="1293"/>
      <w:bookmarkEnd w:id="1294"/>
      <w:bookmarkEnd w:id="12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296" w:name="_Toc283"/>
      <w:bookmarkStart w:id="1297" w:name="_Toc27306"/>
      <w:bookmarkStart w:id="1298" w:name="_Toc32544"/>
      <w:r>
        <w:rPr>
          <w:rFonts w:hint="eastAsia" w:asciiTheme="minorEastAsia" w:hAnsiTheme="minorEastAsia" w:eastAsiaTheme="minorEastAsia" w:cstheme="minorEastAsia"/>
          <w:b w:val="0"/>
          <w:bCs w:val="0"/>
          <w:sz w:val="24"/>
          <w:lang w:val="en-US" w:eastAsia="zh-CN"/>
        </w:rPr>
        <w:t>9.负责对本部门的风险源进行辨识和风险评估，并制定相  应的控制措施，将风险源纳入到日常安全检查中，积极落实整  改措施。对风险源和易发事故的重点部位实施有效监测、监控，落实重点部位、重点岗位应急措施。</w:t>
      </w:r>
      <w:bookmarkEnd w:id="1296"/>
      <w:bookmarkEnd w:id="1297"/>
      <w:bookmarkEnd w:id="129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299" w:name="_Toc11283"/>
      <w:bookmarkStart w:id="1300" w:name="_Toc20099"/>
      <w:bookmarkStart w:id="1301" w:name="_Toc4637"/>
      <w:bookmarkStart w:id="1302" w:name="_Toc18501"/>
      <w:bookmarkStart w:id="1303" w:name="_Toc10453"/>
      <w:bookmarkStart w:id="1304" w:name="_Toc12729"/>
      <w:bookmarkStart w:id="1305" w:name="_Toc23895"/>
      <w:r>
        <w:rPr>
          <w:rFonts w:hint="eastAsia" w:asciiTheme="minorEastAsia" w:hAnsiTheme="minorEastAsia" w:eastAsiaTheme="minorEastAsia" w:cstheme="minorEastAsia"/>
          <w:b w:val="0"/>
          <w:bCs w:val="0"/>
          <w:sz w:val="24"/>
          <w:lang w:val="en-US" w:eastAsia="zh-CN"/>
        </w:rPr>
        <w:t>10.对本部门办公室消防等安全隐患进行日常排查，及时治理；</w:t>
      </w:r>
      <w:bookmarkEnd w:id="1299"/>
      <w:bookmarkEnd w:id="1300"/>
      <w:bookmarkEnd w:id="1301"/>
      <w:bookmarkEnd w:id="1302"/>
      <w:bookmarkEnd w:id="1303"/>
      <w:bookmarkEnd w:id="1304"/>
      <w:bookmarkEnd w:id="130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06" w:name="_Toc23266"/>
      <w:bookmarkStart w:id="1307" w:name="_Toc19449"/>
      <w:bookmarkStart w:id="1308" w:name="_Toc16264"/>
      <w:r>
        <w:rPr>
          <w:rFonts w:hint="eastAsia" w:asciiTheme="minorEastAsia" w:hAnsiTheme="minorEastAsia" w:eastAsiaTheme="minorEastAsia" w:cstheme="minorEastAsia"/>
          <w:b w:val="0"/>
          <w:bCs w:val="0"/>
          <w:sz w:val="24"/>
          <w:lang w:val="en-US" w:eastAsia="zh-CN"/>
        </w:rPr>
        <w:t>11.在项目部应急指挥部领导下，参与各种突发事件的应急处置工作，负责相关资金提取、保障及抚恤相关财务工作；</w:t>
      </w:r>
      <w:bookmarkEnd w:id="1306"/>
      <w:bookmarkEnd w:id="1307"/>
      <w:bookmarkEnd w:id="130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09" w:name="_Toc11322"/>
      <w:bookmarkStart w:id="1310" w:name="_Toc30167"/>
      <w:bookmarkStart w:id="1311" w:name="_Toc32318"/>
      <w:r>
        <w:rPr>
          <w:rFonts w:hint="eastAsia" w:asciiTheme="minorEastAsia" w:hAnsiTheme="minorEastAsia" w:eastAsiaTheme="minorEastAsia" w:cstheme="minorEastAsia"/>
          <w:b w:val="0"/>
          <w:bCs w:val="0"/>
          <w:sz w:val="24"/>
          <w:lang w:val="en-US" w:eastAsia="zh-CN"/>
        </w:rPr>
        <w:t>12.积极参加项目部各类安全教育培训，开展本部门安全教育 培训，建立本部室人员安全教育培训档案及其他安全管理档案；</w:t>
      </w:r>
      <w:bookmarkEnd w:id="1309"/>
      <w:bookmarkEnd w:id="1310"/>
      <w:bookmarkEnd w:id="131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12" w:name="_Toc27994"/>
      <w:bookmarkStart w:id="1313" w:name="_Toc29789"/>
      <w:bookmarkStart w:id="1314" w:name="_Toc28433"/>
      <w:r>
        <w:rPr>
          <w:rFonts w:hint="eastAsia" w:asciiTheme="minorEastAsia" w:hAnsiTheme="minorEastAsia" w:eastAsiaTheme="minorEastAsia" w:cstheme="minorEastAsia"/>
          <w:b w:val="0"/>
          <w:bCs w:val="0"/>
          <w:sz w:val="24"/>
          <w:lang w:val="en-US" w:eastAsia="zh-CN"/>
        </w:rPr>
        <w:t>13.识别搜集本部室业务范围相关安全生产法律法规，建立台账，及时更新，参加相关评估工作及对现行安全生产管理制度的评估工作。</w:t>
      </w:r>
      <w:bookmarkEnd w:id="1312"/>
      <w:bookmarkEnd w:id="1313"/>
      <w:bookmarkEnd w:id="131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315" w:name="_Toc19099"/>
      <w:bookmarkStart w:id="1316" w:name="_Toc18751"/>
      <w:bookmarkStart w:id="1317" w:name="_Toc25284"/>
      <w:bookmarkStart w:id="1318" w:name="_Toc20846"/>
      <w:bookmarkStart w:id="1319" w:name="_Toc28690"/>
      <w:bookmarkStart w:id="1320" w:name="_Toc4108"/>
      <w:bookmarkStart w:id="1321" w:name="_Toc31335"/>
      <w:bookmarkStart w:id="1322" w:name="_Toc2855"/>
      <w:bookmarkStart w:id="1323" w:name="_Toc31716"/>
      <w:r>
        <w:rPr>
          <w:rFonts w:hint="eastAsia" w:asciiTheme="minorEastAsia" w:hAnsiTheme="minorEastAsia" w:eastAsiaTheme="minorEastAsia" w:cstheme="minorEastAsia"/>
          <w:b w:val="0"/>
          <w:bCs w:val="0"/>
          <w:sz w:val="24"/>
          <w:lang w:val="en-US" w:eastAsia="zh-CN"/>
        </w:rPr>
        <w:t>（五）、综合办公室安全生产职责</w:t>
      </w:r>
      <w:bookmarkEnd w:id="1315"/>
      <w:bookmarkEnd w:id="1316"/>
      <w:bookmarkEnd w:id="1317"/>
      <w:bookmarkEnd w:id="1318"/>
      <w:bookmarkEnd w:id="1319"/>
      <w:bookmarkEnd w:id="1320"/>
      <w:bookmarkEnd w:id="1321"/>
      <w:bookmarkEnd w:id="1322"/>
      <w:bookmarkEnd w:id="13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324" w:name="_Toc26780"/>
      <w:bookmarkStart w:id="1325" w:name="_Toc30593"/>
      <w:bookmarkStart w:id="1326" w:name="_Toc1041"/>
      <w:bookmarkStart w:id="1327" w:name="_Toc24153"/>
      <w:bookmarkStart w:id="1328" w:name="_Toc27525"/>
      <w:bookmarkStart w:id="1329" w:name="_Toc20653"/>
      <w:bookmarkStart w:id="1330" w:name="_Toc9810"/>
      <w:r>
        <w:rPr>
          <w:rFonts w:hint="eastAsia" w:asciiTheme="minorEastAsia" w:hAnsiTheme="minorEastAsia" w:eastAsiaTheme="minorEastAsia" w:cstheme="minorEastAsia"/>
          <w:b w:val="0"/>
          <w:bCs w:val="0"/>
          <w:sz w:val="24"/>
          <w:lang w:val="en-US" w:eastAsia="zh-CN"/>
        </w:rPr>
        <w:t>1.负责项目部行政后勤、食品卫生等方面安全管理工作。</w:t>
      </w:r>
      <w:bookmarkEnd w:id="1324"/>
      <w:bookmarkEnd w:id="1325"/>
      <w:bookmarkEnd w:id="1326"/>
      <w:bookmarkEnd w:id="1327"/>
      <w:bookmarkEnd w:id="1328"/>
      <w:bookmarkEnd w:id="1329"/>
      <w:bookmarkEnd w:id="133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31" w:name="_Toc27557"/>
      <w:bookmarkStart w:id="1332" w:name="_Toc27503"/>
      <w:bookmarkStart w:id="1333" w:name="_Toc26980"/>
      <w:r>
        <w:rPr>
          <w:rFonts w:hint="eastAsia" w:asciiTheme="minorEastAsia" w:hAnsiTheme="minorEastAsia" w:eastAsiaTheme="minorEastAsia" w:cstheme="minorEastAsia"/>
          <w:b w:val="0"/>
          <w:bCs w:val="0"/>
          <w:sz w:val="24"/>
          <w:lang w:val="en-US" w:eastAsia="zh-CN"/>
        </w:rPr>
        <w:t>2.贯彻落实安全生产法律法规、方针政策和项目部安全生产规章制度，及时传达、组织本部门和本系统学习并贯彻落实安全生产工作文件和通知。</w:t>
      </w:r>
      <w:bookmarkEnd w:id="1331"/>
      <w:bookmarkEnd w:id="1332"/>
      <w:bookmarkEnd w:id="133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34" w:name="_Toc20777"/>
      <w:bookmarkStart w:id="1335" w:name="_Toc6476"/>
      <w:bookmarkStart w:id="1336" w:name="_Toc16469"/>
      <w:r>
        <w:rPr>
          <w:rFonts w:hint="eastAsia" w:asciiTheme="minorEastAsia" w:hAnsiTheme="minorEastAsia" w:eastAsiaTheme="minorEastAsia" w:cstheme="minorEastAsia"/>
          <w:b w:val="0"/>
          <w:bCs w:val="0"/>
          <w:sz w:val="24"/>
          <w:lang w:val="en-US" w:eastAsia="zh-CN"/>
        </w:rPr>
        <w:t>3.组织分解并认真落实本部门安全生产工作目标、指标和保障措施。</w:t>
      </w:r>
      <w:bookmarkEnd w:id="1334"/>
      <w:bookmarkEnd w:id="1335"/>
      <w:bookmarkEnd w:id="133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37" w:name="_Toc11277"/>
      <w:bookmarkStart w:id="1338" w:name="_Toc4403"/>
      <w:bookmarkStart w:id="1339" w:name="_Toc17972"/>
      <w:r>
        <w:rPr>
          <w:rFonts w:hint="eastAsia" w:asciiTheme="minorEastAsia" w:hAnsiTheme="minorEastAsia" w:eastAsiaTheme="minorEastAsia" w:cstheme="minorEastAsia"/>
          <w:b w:val="0"/>
          <w:bCs w:val="0"/>
          <w:sz w:val="24"/>
          <w:lang w:val="en-US" w:eastAsia="zh-CN"/>
        </w:rPr>
        <w:t>4.及时批转上级有关安全的公文；对项目部安全文件进行核稿，并监督签发到位；协助项目部制定安全管理制度，组织或参与编制项目部交通事故及公共卫生事件专项应急预案；</w:t>
      </w:r>
      <w:bookmarkEnd w:id="1337"/>
      <w:bookmarkEnd w:id="1338"/>
      <w:bookmarkEnd w:id="133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40" w:name="_Toc17940"/>
      <w:bookmarkStart w:id="1341" w:name="_Toc11509"/>
      <w:bookmarkStart w:id="1342" w:name="_Toc4305"/>
      <w:r>
        <w:rPr>
          <w:rFonts w:hint="eastAsia" w:asciiTheme="minorEastAsia" w:hAnsiTheme="minorEastAsia" w:eastAsiaTheme="minorEastAsia" w:cstheme="minorEastAsia"/>
          <w:b w:val="0"/>
          <w:bCs w:val="0"/>
          <w:sz w:val="24"/>
          <w:lang w:val="en-US" w:eastAsia="zh-CN"/>
        </w:rPr>
        <w:t>5.负责编制项目部值班表，督导项目部值班工作；对项目部办公区外来人员进行安全告知，并督促其落实；</w:t>
      </w:r>
      <w:bookmarkEnd w:id="1340"/>
      <w:bookmarkEnd w:id="1341"/>
      <w:bookmarkEnd w:id="134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43" w:name="_Toc13345"/>
      <w:bookmarkStart w:id="1344" w:name="_Toc7802"/>
      <w:r>
        <w:rPr>
          <w:rFonts w:hint="eastAsia" w:asciiTheme="minorEastAsia" w:hAnsiTheme="minorEastAsia" w:eastAsiaTheme="minorEastAsia" w:cstheme="minorEastAsia"/>
          <w:b w:val="0"/>
          <w:bCs w:val="0"/>
          <w:sz w:val="24"/>
          <w:lang w:val="en-US" w:eastAsia="zh-CN"/>
        </w:rPr>
        <w:t>6.组织项目部食品卫生、职业健康安全检查，督促问题整改；负责项目部职业健康培训和体检，建立完善职业健康档案；</w:t>
      </w:r>
      <w:bookmarkEnd w:id="1343"/>
      <w:bookmarkEnd w:id="134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345" w:name="_Toc17219"/>
      <w:bookmarkStart w:id="1346" w:name="_Toc16004"/>
      <w:bookmarkStart w:id="1347" w:name="_Toc16089"/>
      <w:bookmarkStart w:id="1348" w:name="_Toc23712"/>
      <w:bookmarkStart w:id="1349" w:name="_Toc26224"/>
      <w:bookmarkStart w:id="1350" w:name="_Toc8760"/>
      <w:bookmarkStart w:id="1351" w:name="_Toc13247"/>
      <w:r>
        <w:rPr>
          <w:rFonts w:hint="eastAsia" w:asciiTheme="minorEastAsia" w:hAnsiTheme="minorEastAsia" w:eastAsiaTheme="minorEastAsia" w:cstheme="minorEastAsia"/>
          <w:b w:val="0"/>
          <w:bCs w:val="0"/>
          <w:sz w:val="24"/>
          <w:lang w:val="en-US" w:eastAsia="zh-CN"/>
        </w:rPr>
        <w:t>7.参加项目部安全生产会议、领导安全检查等安全活动；</w:t>
      </w:r>
      <w:bookmarkEnd w:id="1345"/>
      <w:bookmarkEnd w:id="1346"/>
      <w:bookmarkEnd w:id="1347"/>
      <w:bookmarkEnd w:id="1348"/>
      <w:bookmarkEnd w:id="1349"/>
      <w:bookmarkEnd w:id="1350"/>
      <w:bookmarkEnd w:id="135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52" w:name="_Toc26655"/>
      <w:bookmarkStart w:id="1353" w:name="_Toc292"/>
      <w:bookmarkStart w:id="1354" w:name="_Toc20332"/>
      <w:r>
        <w:rPr>
          <w:rFonts w:hint="eastAsia" w:asciiTheme="minorEastAsia" w:hAnsiTheme="minorEastAsia" w:eastAsiaTheme="minorEastAsia" w:cstheme="minorEastAsia"/>
          <w:b w:val="0"/>
          <w:bCs w:val="0"/>
          <w:sz w:val="24"/>
          <w:lang w:val="en-US" w:eastAsia="zh-CN"/>
        </w:rPr>
        <w:t>8.负责对本部门的风险源进行辨识和风险评估，并制定相  应的控制措施，将风险源纳入到日常安全检查中，积极落实整  改措施。对风险源和易发事故的重点部位实施有效监测、监控，落实重点部位、重点岗位应急措施。</w:t>
      </w:r>
      <w:bookmarkEnd w:id="1352"/>
      <w:bookmarkEnd w:id="1353"/>
      <w:bookmarkEnd w:id="135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55" w:name="_Toc22425"/>
      <w:bookmarkStart w:id="1356" w:name="_Toc6081"/>
      <w:bookmarkStart w:id="1357" w:name="_Toc22224"/>
      <w:r>
        <w:rPr>
          <w:rFonts w:hint="eastAsia" w:asciiTheme="minorEastAsia" w:hAnsiTheme="minorEastAsia" w:eastAsiaTheme="minorEastAsia" w:cstheme="minorEastAsia"/>
          <w:b w:val="0"/>
          <w:bCs w:val="0"/>
          <w:sz w:val="24"/>
          <w:lang w:val="en-US" w:eastAsia="zh-CN"/>
        </w:rPr>
        <w:t>9.对本部门办公室消防等各种安全隐患进行日常排查，及时治理；协调物业管理单位，保证公司机关办公区消防设施完好有效；</w:t>
      </w:r>
      <w:bookmarkEnd w:id="1355"/>
      <w:bookmarkEnd w:id="1356"/>
      <w:bookmarkEnd w:id="135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58" w:name="_Toc10949"/>
      <w:bookmarkStart w:id="1359" w:name="_Toc27866"/>
      <w:bookmarkStart w:id="1360" w:name="_Toc32441"/>
      <w:r>
        <w:rPr>
          <w:rFonts w:hint="eastAsia" w:asciiTheme="minorEastAsia" w:hAnsiTheme="minorEastAsia" w:eastAsiaTheme="minorEastAsia" w:cstheme="minorEastAsia"/>
          <w:b w:val="0"/>
          <w:bCs w:val="0"/>
          <w:sz w:val="24"/>
          <w:lang w:val="en-US" w:eastAsia="zh-CN"/>
        </w:rPr>
        <w:t>10.履行交通事故、公共卫生事件专项应急指挥办公室职责及项目部应急救援工作中新闻宣传组的牵头部门职责，参与各种应急处置工作；参与项目部事故调查，配合完成事故调查上报工作；</w:t>
      </w:r>
      <w:bookmarkEnd w:id="1358"/>
      <w:bookmarkEnd w:id="1359"/>
      <w:bookmarkEnd w:id="136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61" w:name="_Toc14690"/>
      <w:bookmarkStart w:id="1362" w:name="_Toc7414"/>
      <w:bookmarkStart w:id="1363" w:name="_Toc29296"/>
      <w:r>
        <w:rPr>
          <w:rFonts w:hint="eastAsia" w:asciiTheme="minorEastAsia" w:hAnsiTheme="minorEastAsia" w:eastAsiaTheme="minorEastAsia" w:cstheme="minorEastAsia"/>
          <w:b w:val="0"/>
          <w:bCs w:val="0"/>
          <w:sz w:val="24"/>
          <w:lang w:val="en-US" w:eastAsia="zh-CN"/>
        </w:rPr>
        <w:t>11.积极参加项目部并组织本部门安全教育培训，建立本部室人员安全教育培训档案及其他安全管理档案；</w:t>
      </w:r>
      <w:bookmarkEnd w:id="1361"/>
      <w:bookmarkEnd w:id="1362"/>
      <w:bookmarkEnd w:id="136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364" w:name="_Toc26241"/>
      <w:bookmarkStart w:id="1365" w:name="_Toc14367"/>
      <w:bookmarkStart w:id="1366" w:name="_Toc27830"/>
      <w:bookmarkStart w:id="1367" w:name="_Toc14053"/>
      <w:bookmarkStart w:id="1368" w:name="_Toc9214"/>
      <w:bookmarkStart w:id="1369" w:name="_Toc1848"/>
      <w:bookmarkStart w:id="1370" w:name="_Toc22568"/>
      <w:r>
        <w:rPr>
          <w:rFonts w:hint="eastAsia" w:asciiTheme="minorEastAsia" w:hAnsiTheme="minorEastAsia" w:eastAsiaTheme="minorEastAsia" w:cstheme="minorEastAsia"/>
          <w:b w:val="0"/>
          <w:bCs w:val="0"/>
          <w:sz w:val="24"/>
          <w:lang w:val="en-US" w:eastAsia="zh-CN"/>
        </w:rPr>
        <w:t>12.做好安全生产宣传、安全文化建设工作；</w:t>
      </w:r>
      <w:bookmarkEnd w:id="1364"/>
      <w:bookmarkEnd w:id="1365"/>
      <w:bookmarkEnd w:id="1366"/>
      <w:bookmarkEnd w:id="1367"/>
      <w:bookmarkEnd w:id="1368"/>
      <w:bookmarkEnd w:id="1369"/>
      <w:bookmarkEnd w:id="137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71" w:name="_Toc14967"/>
      <w:bookmarkStart w:id="1372" w:name="_Toc10111"/>
      <w:bookmarkStart w:id="1373" w:name="_Toc5519"/>
      <w:r>
        <w:rPr>
          <w:rFonts w:hint="eastAsia" w:asciiTheme="minorEastAsia" w:hAnsiTheme="minorEastAsia" w:eastAsiaTheme="minorEastAsia" w:cstheme="minorEastAsia"/>
          <w:b w:val="0"/>
          <w:bCs w:val="0"/>
          <w:sz w:val="24"/>
          <w:lang w:val="en-US" w:eastAsia="zh-CN"/>
        </w:rPr>
        <w:t>13.识别食品卫生等法律法规、标准规范，建立、更新台账，参加相关评估工作；参加项目部现行安全生产管理制度评估工作。</w:t>
      </w:r>
      <w:bookmarkEnd w:id="1371"/>
      <w:bookmarkEnd w:id="1372"/>
      <w:bookmarkEnd w:id="137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374" w:name="_Toc18406"/>
      <w:bookmarkStart w:id="1375" w:name="_Toc32309"/>
      <w:bookmarkStart w:id="1376" w:name="_Toc7437"/>
      <w:bookmarkStart w:id="1377" w:name="_Toc10930"/>
      <w:bookmarkStart w:id="1378" w:name="_Toc10927"/>
      <w:bookmarkStart w:id="1379" w:name="_Toc21838"/>
      <w:bookmarkStart w:id="1380" w:name="_Toc2170"/>
      <w:bookmarkStart w:id="1381" w:name="_Toc11639"/>
      <w:bookmarkStart w:id="1382" w:name="_Toc1691"/>
      <w:r>
        <w:rPr>
          <w:rFonts w:hint="eastAsia" w:asciiTheme="minorEastAsia" w:hAnsiTheme="minorEastAsia" w:eastAsiaTheme="minorEastAsia" w:cstheme="minorEastAsia"/>
          <w:b w:val="0"/>
          <w:bCs w:val="0"/>
          <w:sz w:val="24"/>
          <w:lang w:val="en-US" w:eastAsia="zh-CN"/>
        </w:rPr>
        <w:t>（六）、项目部负责人安全生产职责</w:t>
      </w:r>
      <w:bookmarkEnd w:id="1374"/>
      <w:bookmarkEnd w:id="1375"/>
      <w:bookmarkEnd w:id="1376"/>
      <w:bookmarkEnd w:id="1377"/>
      <w:bookmarkEnd w:id="1378"/>
      <w:bookmarkEnd w:id="1379"/>
      <w:bookmarkEnd w:id="1380"/>
      <w:bookmarkEnd w:id="1381"/>
      <w:bookmarkEnd w:id="138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 xml:space="preserve"> </w:t>
      </w:r>
      <w:bookmarkStart w:id="1383" w:name="_Toc29119"/>
      <w:bookmarkStart w:id="1384" w:name="_Toc6381"/>
      <w:bookmarkStart w:id="1385" w:name="_Toc12694"/>
      <w:r>
        <w:rPr>
          <w:rFonts w:hint="eastAsia" w:asciiTheme="minorEastAsia" w:hAnsiTheme="minorEastAsia" w:eastAsiaTheme="minorEastAsia" w:cstheme="minorEastAsia"/>
          <w:b w:val="0"/>
          <w:bCs w:val="0"/>
          <w:sz w:val="24"/>
          <w:lang w:val="en-US" w:eastAsia="zh-CN"/>
        </w:rPr>
        <w:t>1.学习贯彻国家安全生产法律法规及上级单位和本单位安全生产规章制度；</w:t>
      </w:r>
      <w:bookmarkEnd w:id="1383"/>
      <w:bookmarkEnd w:id="1384"/>
      <w:bookmarkEnd w:id="138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86" w:name="_Toc19844"/>
      <w:bookmarkStart w:id="1387" w:name="_Toc26293"/>
      <w:bookmarkStart w:id="1388" w:name="_Toc32039"/>
      <w:r>
        <w:rPr>
          <w:rFonts w:hint="eastAsia" w:asciiTheme="minorEastAsia" w:hAnsiTheme="minorEastAsia" w:eastAsiaTheme="minorEastAsia" w:cstheme="minorEastAsia"/>
          <w:b w:val="0"/>
          <w:bCs w:val="0"/>
          <w:sz w:val="24"/>
          <w:lang w:val="en-US" w:eastAsia="zh-CN"/>
        </w:rPr>
        <w:t>2、项目负责人对本项目的安全负总责，项目其他负责人对职责范围内的安全生产工作负责；</w:t>
      </w:r>
      <w:bookmarkEnd w:id="1386"/>
      <w:bookmarkEnd w:id="1387"/>
      <w:bookmarkEnd w:id="138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89" w:name="_Toc13701"/>
      <w:bookmarkStart w:id="1390" w:name="_Toc1170"/>
      <w:bookmarkStart w:id="1391" w:name="_Toc22855"/>
      <w:r>
        <w:rPr>
          <w:rFonts w:hint="eastAsia" w:asciiTheme="minorEastAsia" w:hAnsiTheme="minorEastAsia" w:eastAsiaTheme="minorEastAsia" w:cstheme="minorEastAsia"/>
          <w:b w:val="0"/>
          <w:bCs w:val="0"/>
          <w:sz w:val="24"/>
          <w:lang w:val="en-US" w:eastAsia="zh-CN"/>
        </w:rPr>
        <w:t>3. 组织建立本项目安全生产组织机构，根据项目组织结构和岗位设置建立并组织落实项目安全生产责任制；</w:t>
      </w:r>
      <w:bookmarkEnd w:id="1389"/>
      <w:bookmarkEnd w:id="1390"/>
      <w:bookmarkEnd w:id="139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92" w:name="_Toc28784"/>
      <w:bookmarkStart w:id="1393" w:name="_Toc13527"/>
      <w:bookmarkStart w:id="1394" w:name="_Toc20263"/>
      <w:r>
        <w:rPr>
          <w:rFonts w:hint="eastAsia" w:asciiTheme="minorEastAsia" w:hAnsiTheme="minorEastAsia" w:eastAsiaTheme="minorEastAsia" w:cstheme="minorEastAsia"/>
          <w:b w:val="0"/>
          <w:bCs w:val="0"/>
          <w:sz w:val="24"/>
          <w:lang w:val="en-US" w:eastAsia="zh-CN"/>
        </w:rPr>
        <w:t>4、建立健全本项目安全管理制度，对公司安全生产目标进行分解，制定落实本项目部安全生产目标、工作计划和保障措施，同时计划、同时布置、同时检查、同时总结、同时考核；</w:t>
      </w:r>
      <w:bookmarkEnd w:id="1392"/>
      <w:bookmarkEnd w:id="1393"/>
      <w:bookmarkEnd w:id="139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95" w:name="_Toc29520"/>
      <w:bookmarkStart w:id="1396" w:name="_Toc12120"/>
      <w:bookmarkStart w:id="1397" w:name="_Toc30796"/>
      <w:r>
        <w:rPr>
          <w:rFonts w:hint="eastAsia" w:asciiTheme="minorEastAsia" w:hAnsiTheme="minorEastAsia" w:eastAsiaTheme="minorEastAsia" w:cstheme="minorEastAsia"/>
          <w:b w:val="0"/>
          <w:bCs w:val="0"/>
          <w:sz w:val="24"/>
          <w:lang w:val="en-US" w:eastAsia="zh-CN"/>
        </w:rPr>
        <w:t>5.组织召开本项目安全生产工作会议，及时传达并贯彻落实上级安全生产会议、文件要求，研究、部署安全生产工作，解决安全生产问题；在施工重要节点组织召开专题安全分析会；</w:t>
      </w:r>
      <w:bookmarkEnd w:id="1395"/>
      <w:bookmarkEnd w:id="1396"/>
      <w:bookmarkEnd w:id="139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398" w:name="_Toc7001"/>
      <w:bookmarkStart w:id="1399" w:name="_Toc26537"/>
      <w:bookmarkStart w:id="1400" w:name="_Toc27346"/>
      <w:r>
        <w:rPr>
          <w:rFonts w:hint="eastAsia" w:asciiTheme="minorEastAsia" w:hAnsiTheme="minorEastAsia" w:eastAsiaTheme="minorEastAsia" w:cstheme="minorEastAsia"/>
          <w:b w:val="0"/>
          <w:bCs w:val="0"/>
          <w:sz w:val="24"/>
          <w:lang w:val="en-US" w:eastAsia="zh-CN"/>
        </w:rPr>
        <w:t>6.保证本项目安全生产投入的有效实施，不断改善安全生产条件，组织投保安全生产责任险；</w:t>
      </w:r>
      <w:bookmarkEnd w:id="1398"/>
      <w:bookmarkEnd w:id="1399"/>
      <w:bookmarkEnd w:id="140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01" w:name="_Toc13327"/>
      <w:bookmarkStart w:id="1402" w:name="_Toc6430"/>
      <w:bookmarkStart w:id="1403" w:name="_Toc32633"/>
      <w:r>
        <w:rPr>
          <w:rFonts w:hint="eastAsia" w:asciiTheme="minorEastAsia" w:hAnsiTheme="minorEastAsia" w:eastAsiaTheme="minorEastAsia" w:cstheme="minorEastAsia"/>
          <w:b w:val="0"/>
          <w:bCs w:val="0"/>
          <w:sz w:val="24"/>
          <w:lang w:val="en-US" w:eastAsia="zh-CN"/>
        </w:rPr>
        <w:t>7.推行安全生产标准化，组织落实安全风险分级管控和隐患 排查治理，组织、参与安全风险辨识、安全生产检查和隐患排查，及时消除生产安全事故隐患；项目负责人每月至少带队检查一次，项目技术负责人每周组织检查一次；</w:t>
      </w:r>
      <w:bookmarkEnd w:id="1401"/>
      <w:bookmarkEnd w:id="1402"/>
      <w:bookmarkEnd w:id="140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04" w:name="_Toc17898"/>
      <w:bookmarkStart w:id="1405" w:name="_Toc16197"/>
      <w:bookmarkStart w:id="1406" w:name="_Toc20497"/>
      <w:r>
        <w:rPr>
          <w:rFonts w:hint="eastAsia" w:asciiTheme="minorEastAsia" w:hAnsiTheme="minorEastAsia" w:eastAsiaTheme="minorEastAsia" w:cstheme="minorEastAsia"/>
          <w:b w:val="0"/>
          <w:bCs w:val="0"/>
          <w:sz w:val="24"/>
          <w:lang w:val="en-US" w:eastAsia="zh-CN"/>
        </w:rPr>
        <w:t>8.加强本项目相关方、特种作业人员、特种设备及操作人员管理；督导分管人员组织分包单位研讨并落实安全措施、开展技术交底及班组岗前教育；</w:t>
      </w:r>
      <w:bookmarkEnd w:id="1404"/>
      <w:bookmarkEnd w:id="1405"/>
      <w:bookmarkEnd w:id="140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07" w:name="_Toc8817"/>
      <w:bookmarkStart w:id="1408" w:name="_Toc4369"/>
      <w:bookmarkStart w:id="1409" w:name="_Toc11109"/>
      <w:r>
        <w:rPr>
          <w:rFonts w:hint="eastAsia" w:asciiTheme="minorEastAsia" w:hAnsiTheme="minorEastAsia" w:eastAsiaTheme="minorEastAsia" w:cstheme="minorEastAsia"/>
          <w:b w:val="0"/>
          <w:bCs w:val="0"/>
          <w:sz w:val="24"/>
          <w:lang w:val="en-US" w:eastAsia="zh-CN"/>
        </w:rPr>
        <w:t>9.组织落实基建项目的 “三同时”；推广采用新技术、新工艺、新设备、新材料时，先组织制订安全技术措施；</w:t>
      </w:r>
      <w:bookmarkEnd w:id="1407"/>
      <w:bookmarkEnd w:id="1408"/>
      <w:bookmarkEnd w:id="140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410" w:name="_Toc1998"/>
      <w:bookmarkStart w:id="1411" w:name="_Toc2381"/>
      <w:bookmarkStart w:id="1412" w:name="_Toc12133"/>
      <w:bookmarkStart w:id="1413" w:name="_Toc19138"/>
      <w:bookmarkStart w:id="1414" w:name="_Toc27825"/>
      <w:bookmarkStart w:id="1415" w:name="_Toc31520"/>
      <w:bookmarkStart w:id="1416" w:name="_Toc11111"/>
      <w:r>
        <w:rPr>
          <w:rFonts w:hint="eastAsia" w:asciiTheme="minorEastAsia" w:hAnsiTheme="minorEastAsia" w:eastAsiaTheme="minorEastAsia" w:cstheme="minorEastAsia"/>
          <w:b w:val="0"/>
          <w:bCs w:val="0"/>
          <w:sz w:val="24"/>
          <w:lang w:val="en-US" w:eastAsia="zh-CN"/>
        </w:rPr>
        <w:t>10.组织本项目安全教育和安全操作技能培训计划的实施；</w:t>
      </w:r>
      <w:bookmarkEnd w:id="1410"/>
      <w:bookmarkEnd w:id="1411"/>
      <w:bookmarkEnd w:id="1412"/>
      <w:bookmarkEnd w:id="1413"/>
      <w:bookmarkEnd w:id="1414"/>
      <w:bookmarkEnd w:id="1415"/>
      <w:bookmarkEnd w:id="141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17" w:name="_Toc3902"/>
      <w:bookmarkStart w:id="1418" w:name="_Toc6809"/>
      <w:bookmarkStart w:id="1419" w:name="_Toc20866"/>
      <w:r>
        <w:rPr>
          <w:rFonts w:hint="eastAsia" w:asciiTheme="minorEastAsia" w:hAnsiTheme="minorEastAsia" w:eastAsiaTheme="minorEastAsia" w:cstheme="minorEastAsia"/>
          <w:b w:val="0"/>
          <w:bCs w:val="0"/>
          <w:sz w:val="24"/>
          <w:lang w:val="en-US" w:eastAsia="zh-CN"/>
        </w:rPr>
        <w:t>11.建立本项目应急救援队伍，保证应急救援物资、设备，组织制定并实施项目应急救援预案及演练；</w:t>
      </w:r>
      <w:bookmarkEnd w:id="1417"/>
      <w:bookmarkEnd w:id="1418"/>
      <w:bookmarkEnd w:id="141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20" w:name="_Toc20642"/>
      <w:bookmarkStart w:id="1421" w:name="_Toc21224"/>
      <w:bookmarkStart w:id="1422" w:name="_Toc20627"/>
      <w:r>
        <w:rPr>
          <w:rFonts w:hint="eastAsia" w:asciiTheme="minorEastAsia" w:hAnsiTheme="minorEastAsia" w:eastAsiaTheme="minorEastAsia" w:cstheme="minorEastAsia"/>
          <w:b w:val="0"/>
          <w:bCs w:val="0"/>
          <w:sz w:val="24"/>
          <w:lang w:val="en-US" w:eastAsia="zh-CN"/>
        </w:rPr>
        <w:t>12.发生事故时，积极组织开展救援，及时、如实报告生产安全事故；</w:t>
      </w:r>
      <w:bookmarkEnd w:id="1420"/>
      <w:bookmarkEnd w:id="1421"/>
      <w:bookmarkEnd w:id="142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23" w:name="_Toc30042"/>
      <w:bookmarkStart w:id="1424" w:name="_Toc3971"/>
      <w:bookmarkStart w:id="1425" w:name="_Toc28739"/>
      <w:r>
        <w:rPr>
          <w:rFonts w:hint="eastAsia" w:asciiTheme="minorEastAsia" w:hAnsiTheme="minorEastAsia" w:eastAsiaTheme="minorEastAsia" w:cstheme="minorEastAsia"/>
          <w:b w:val="0"/>
          <w:bCs w:val="0"/>
          <w:sz w:val="24"/>
          <w:lang w:val="en-US" w:eastAsia="zh-CN"/>
        </w:rPr>
        <w:t>13.督导本项目安全工作信息上报、安全生产宣传、安全文化建设；</w:t>
      </w:r>
      <w:bookmarkEnd w:id="1423"/>
      <w:bookmarkEnd w:id="1424"/>
      <w:bookmarkEnd w:id="142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26" w:name="_Toc26186"/>
      <w:bookmarkStart w:id="1427" w:name="_Toc27002"/>
      <w:bookmarkStart w:id="1428" w:name="_Toc892"/>
      <w:r>
        <w:rPr>
          <w:rFonts w:hint="eastAsia" w:asciiTheme="minorEastAsia" w:hAnsiTheme="minorEastAsia" w:eastAsiaTheme="minorEastAsia" w:cstheme="minorEastAsia"/>
          <w:b w:val="0"/>
          <w:bCs w:val="0"/>
          <w:sz w:val="24"/>
          <w:lang w:val="en-US" w:eastAsia="zh-CN"/>
        </w:rPr>
        <w:t>14.组织落实消防安全，保证本项目消防设施、设备完好有效，建立项目部的消防档案。</w:t>
      </w:r>
      <w:bookmarkEnd w:id="1426"/>
      <w:bookmarkEnd w:id="1427"/>
      <w:bookmarkEnd w:id="142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429" w:name="_Toc7850"/>
      <w:bookmarkStart w:id="1430" w:name="_Toc878"/>
      <w:bookmarkStart w:id="1431" w:name="_Toc20335"/>
      <w:bookmarkStart w:id="1432" w:name="_Toc14717"/>
      <w:bookmarkStart w:id="1433" w:name="_Toc12040"/>
      <w:bookmarkStart w:id="1434" w:name="_Toc30496"/>
      <w:bookmarkStart w:id="1435" w:name="_Toc9639"/>
      <w:bookmarkStart w:id="1436" w:name="_Toc7469"/>
      <w:bookmarkStart w:id="1437" w:name="_Toc26974"/>
      <w:r>
        <w:rPr>
          <w:rFonts w:hint="eastAsia" w:asciiTheme="minorEastAsia" w:hAnsiTheme="minorEastAsia" w:eastAsiaTheme="minorEastAsia" w:cstheme="minorEastAsia"/>
          <w:b w:val="0"/>
          <w:bCs w:val="0"/>
          <w:sz w:val="24"/>
          <w:lang w:val="en-US" w:eastAsia="zh-CN"/>
        </w:rPr>
        <w:t>（七）、项目部安全负责人安全生产职责</w:t>
      </w:r>
      <w:bookmarkEnd w:id="1429"/>
      <w:bookmarkEnd w:id="1430"/>
      <w:bookmarkEnd w:id="1431"/>
      <w:bookmarkEnd w:id="1432"/>
      <w:bookmarkEnd w:id="1433"/>
      <w:bookmarkEnd w:id="1434"/>
      <w:bookmarkEnd w:id="1435"/>
      <w:bookmarkEnd w:id="1436"/>
      <w:bookmarkEnd w:id="143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38" w:name="_Toc23294"/>
      <w:bookmarkStart w:id="1439" w:name="_Toc21835"/>
      <w:bookmarkStart w:id="1440" w:name="_Toc4750"/>
      <w:r>
        <w:rPr>
          <w:rFonts w:hint="eastAsia" w:asciiTheme="minorEastAsia" w:hAnsiTheme="minorEastAsia" w:eastAsiaTheme="minorEastAsia" w:cstheme="minorEastAsia"/>
          <w:b w:val="0"/>
          <w:bCs w:val="0"/>
          <w:sz w:val="24"/>
          <w:lang w:val="en-US" w:eastAsia="zh-CN"/>
        </w:rPr>
        <w:t>1.学习掌握并贯彻国家安全生产法律法规及上级单位安全生产规章制度；</w:t>
      </w:r>
      <w:bookmarkEnd w:id="1438"/>
      <w:bookmarkEnd w:id="1439"/>
      <w:bookmarkEnd w:id="144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41" w:name="_Toc3187"/>
      <w:bookmarkStart w:id="1442" w:name="_Toc10383"/>
      <w:bookmarkStart w:id="1443" w:name="_Toc12987"/>
      <w:r>
        <w:rPr>
          <w:rFonts w:hint="eastAsia" w:asciiTheme="minorEastAsia" w:hAnsiTheme="minorEastAsia" w:eastAsiaTheme="minorEastAsia" w:cstheme="minorEastAsia"/>
          <w:b w:val="0"/>
          <w:bCs w:val="0"/>
          <w:sz w:val="24"/>
          <w:lang w:val="en-US" w:eastAsia="zh-CN"/>
        </w:rPr>
        <w:t>2.协助项目负责人履行安全生产管理职责，对项目安全生产工作负综合管理领导责任；</w:t>
      </w:r>
      <w:bookmarkEnd w:id="1441"/>
      <w:bookmarkEnd w:id="1442"/>
      <w:bookmarkEnd w:id="144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444" w:name="_Toc7535"/>
      <w:bookmarkStart w:id="1445" w:name="_Toc25656"/>
      <w:bookmarkStart w:id="1446" w:name="_Toc9971"/>
      <w:bookmarkStart w:id="1447" w:name="_Toc15949"/>
      <w:bookmarkStart w:id="1448" w:name="_Toc10909"/>
      <w:bookmarkStart w:id="1449" w:name="_Toc19431"/>
      <w:bookmarkStart w:id="1450" w:name="_Toc2973"/>
      <w:r>
        <w:rPr>
          <w:rFonts w:hint="eastAsia" w:asciiTheme="minorEastAsia" w:hAnsiTheme="minorEastAsia" w:eastAsiaTheme="minorEastAsia" w:cstheme="minorEastAsia"/>
          <w:b w:val="0"/>
          <w:bCs w:val="0"/>
          <w:sz w:val="24"/>
          <w:lang w:val="en-US" w:eastAsia="zh-CN"/>
        </w:rPr>
        <w:t>3.组织项目部安全生产管理机构和人员开展日常安全管理工作；</w:t>
      </w:r>
      <w:bookmarkEnd w:id="1444"/>
      <w:bookmarkEnd w:id="1445"/>
      <w:bookmarkEnd w:id="1446"/>
      <w:bookmarkEnd w:id="1447"/>
      <w:bookmarkEnd w:id="1448"/>
      <w:bookmarkEnd w:id="1449"/>
      <w:bookmarkEnd w:id="145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51" w:name="_Toc28117"/>
      <w:bookmarkStart w:id="1452" w:name="_Toc14527"/>
      <w:bookmarkStart w:id="1453" w:name="_Toc433"/>
      <w:r>
        <w:rPr>
          <w:rFonts w:hint="eastAsia" w:asciiTheme="minorEastAsia" w:hAnsiTheme="minorEastAsia" w:eastAsiaTheme="minorEastAsia" w:cstheme="minorEastAsia"/>
          <w:b w:val="0"/>
          <w:bCs w:val="0"/>
          <w:sz w:val="24"/>
          <w:lang w:val="en-US" w:eastAsia="zh-CN"/>
        </w:rPr>
        <w:t>4.督促建立健全项目部全员安全生产责任制、安全生产规章制度和安全操作规程，监督检查执行情况；</w:t>
      </w:r>
      <w:bookmarkEnd w:id="1451"/>
      <w:bookmarkEnd w:id="1452"/>
      <w:bookmarkEnd w:id="145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54" w:name="_Toc22126"/>
      <w:bookmarkStart w:id="1455" w:name="_Toc24117"/>
      <w:bookmarkStart w:id="1456" w:name="_Toc15332"/>
      <w:r>
        <w:rPr>
          <w:rFonts w:hint="eastAsia" w:asciiTheme="minorEastAsia" w:hAnsiTheme="minorEastAsia" w:eastAsiaTheme="minorEastAsia" w:cstheme="minorEastAsia"/>
          <w:b w:val="0"/>
          <w:bCs w:val="0"/>
          <w:sz w:val="24"/>
          <w:lang w:val="en-US" w:eastAsia="zh-CN"/>
        </w:rPr>
        <w:t>5.组织制定项目安全目标和年度工作计划并督导实施； 6.审查项目部安全生产投入计划，监督安全生产投入有</w:t>
      </w:r>
      <w:bookmarkEnd w:id="1454"/>
      <w:bookmarkEnd w:id="1455"/>
      <w:bookmarkEnd w:id="1456"/>
      <w:bookmarkStart w:id="1457" w:name="_Toc13190"/>
      <w:bookmarkStart w:id="1458" w:name="_Toc13631"/>
      <w:bookmarkStart w:id="1459" w:name="_Toc28447"/>
      <w:r>
        <w:rPr>
          <w:rFonts w:hint="eastAsia" w:asciiTheme="minorEastAsia" w:hAnsiTheme="minorEastAsia" w:eastAsiaTheme="minorEastAsia" w:cstheme="minorEastAsia"/>
          <w:b w:val="0"/>
          <w:bCs w:val="0"/>
          <w:sz w:val="24"/>
          <w:lang w:val="en-US" w:eastAsia="zh-CN"/>
        </w:rPr>
        <w:t>效实施；</w:t>
      </w:r>
      <w:bookmarkEnd w:id="1457"/>
      <w:bookmarkEnd w:id="1458"/>
      <w:bookmarkEnd w:id="145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60" w:name="_Toc2400"/>
      <w:bookmarkStart w:id="1461" w:name="_Toc14638"/>
      <w:bookmarkStart w:id="1462" w:name="_Toc15329"/>
      <w:r>
        <w:rPr>
          <w:rFonts w:hint="eastAsia" w:asciiTheme="minorEastAsia" w:hAnsiTheme="minorEastAsia" w:eastAsiaTheme="minorEastAsia" w:cstheme="minorEastAsia"/>
          <w:b w:val="0"/>
          <w:bCs w:val="0"/>
          <w:sz w:val="24"/>
          <w:lang w:val="en-US" w:eastAsia="zh-CN"/>
        </w:rPr>
        <w:t>7.组织召开项目部安全生产例会，总结分析和部署安全生产工作；</w:t>
      </w:r>
      <w:bookmarkEnd w:id="1460"/>
      <w:bookmarkEnd w:id="1461"/>
      <w:bookmarkEnd w:id="146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63" w:name="_Toc15310"/>
      <w:bookmarkStart w:id="1464" w:name="_Toc20522"/>
      <w:bookmarkStart w:id="1465" w:name="_Toc20924"/>
      <w:r>
        <w:rPr>
          <w:rFonts w:hint="eastAsia" w:asciiTheme="minorEastAsia" w:hAnsiTheme="minorEastAsia" w:eastAsiaTheme="minorEastAsia" w:cstheme="minorEastAsia"/>
          <w:b w:val="0"/>
          <w:bCs w:val="0"/>
          <w:sz w:val="24"/>
          <w:lang w:val="en-US" w:eastAsia="zh-CN"/>
        </w:rPr>
        <w:t>8.督导项目部安全风险分级管控和隐患排查治理双重预防工作机制、安全生产标准化和职业健康安全管理体系建设；</w:t>
      </w:r>
      <w:bookmarkEnd w:id="1463"/>
      <w:bookmarkEnd w:id="1464"/>
      <w:bookmarkEnd w:id="146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66" w:name="_Toc9841"/>
      <w:bookmarkStart w:id="1467" w:name="_Toc19450"/>
      <w:bookmarkStart w:id="1468" w:name="_Toc23134"/>
      <w:r>
        <w:rPr>
          <w:rFonts w:hint="eastAsia" w:asciiTheme="minorEastAsia" w:hAnsiTheme="minorEastAsia" w:eastAsiaTheme="minorEastAsia" w:cstheme="minorEastAsia"/>
          <w:b w:val="0"/>
          <w:bCs w:val="0"/>
          <w:sz w:val="24"/>
          <w:lang w:val="en-US" w:eastAsia="zh-CN"/>
        </w:rPr>
        <w:t>9.督导或组织安全生产检查、隐患排查治理，每周至少开展一次安全生产检查，对查出的事故隐患督促整改；</w:t>
      </w:r>
      <w:bookmarkEnd w:id="1466"/>
      <w:bookmarkEnd w:id="1467"/>
      <w:bookmarkEnd w:id="146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69" w:name="_Toc1828"/>
      <w:bookmarkStart w:id="1470" w:name="_Toc25599"/>
      <w:bookmarkStart w:id="1471" w:name="_Toc7435"/>
      <w:r>
        <w:rPr>
          <w:rFonts w:hint="eastAsia" w:asciiTheme="minorEastAsia" w:hAnsiTheme="minorEastAsia" w:eastAsiaTheme="minorEastAsia" w:cstheme="minorEastAsia"/>
          <w:b w:val="0"/>
          <w:bCs w:val="0"/>
          <w:sz w:val="24"/>
          <w:lang w:val="en-US" w:eastAsia="zh-CN"/>
        </w:rPr>
        <w:t>10.组织对项目部各级人员进行安全生产责任制履行情况进行考核；</w:t>
      </w:r>
      <w:bookmarkEnd w:id="1469"/>
      <w:bookmarkEnd w:id="1470"/>
      <w:bookmarkEnd w:id="147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72" w:name="_Toc9123"/>
      <w:bookmarkStart w:id="1473" w:name="_Toc31293"/>
      <w:bookmarkStart w:id="1474" w:name="_Toc20545"/>
      <w:r>
        <w:rPr>
          <w:rFonts w:hint="eastAsia" w:asciiTheme="minorEastAsia" w:hAnsiTheme="minorEastAsia" w:eastAsiaTheme="minorEastAsia" w:cstheme="minorEastAsia"/>
          <w:b w:val="0"/>
          <w:bCs w:val="0"/>
          <w:sz w:val="24"/>
          <w:lang w:val="en-US" w:eastAsia="zh-CN"/>
        </w:rPr>
        <w:t>11.督导项目部生产安全应急救援预案制定、备案，组织评审工作；督导预案演练，提出改进指导意见；</w:t>
      </w:r>
      <w:bookmarkEnd w:id="1472"/>
      <w:bookmarkEnd w:id="1473"/>
      <w:bookmarkEnd w:id="147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75" w:name="_Toc1210"/>
      <w:bookmarkStart w:id="1476" w:name="_Toc5844"/>
      <w:bookmarkStart w:id="1477" w:name="_Toc551"/>
      <w:r>
        <w:rPr>
          <w:rFonts w:hint="eastAsia" w:asciiTheme="minorEastAsia" w:hAnsiTheme="minorEastAsia" w:eastAsiaTheme="minorEastAsia" w:cstheme="minorEastAsia"/>
          <w:b w:val="0"/>
          <w:bCs w:val="0"/>
          <w:sz w:val="24"/>
          <w:lang w:val="en-US" w:eastAsia="zh-CN"/>
        </w:rPr>
        <w:t>12.若发生生产安全事故，按规定时间和程序报告，参与组织事故救援和善后处置，配合有关部门开展事故调查或组织内部事故调查处理。</w:t>
      </w:r>
      <w:bookmarkEnd w:id="1475"/>
      <w:bookmarkEnd w:id="1476"/>
      <w:bookmarkEnd w:id="147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78" w:name="_Toc30975"/>
      <w:bookmarkStart w:id="1479" w:name="_Toc5609"/>
      <w:bookmarkStart w:id="1480" w:name="_Toc7765"/>
      <w:r>
        <w:rPr>
          <w:rFonts w:hint="eastAsia" w:asciiTheme="minorEastAsia" w:hAnsiTheme="minorEastAsia" w:eastAsiaTheme="minorEastAsia" w:cstheme="minorEastAsia"/>
          <w:b w:val="0"/>
          <w:bCs w:val="0"/>
          <w:sz w:val="24"/>
          <w:lang w:val="en-US" w:eastAsia="zh-CN"/>
        </w:rPr>
        <w:t>13.组织总结、推广安全生产先进经验，督促、协助项目部安全文化建设。</w:t>
      </w:r>
      <w:bookmarkEnd w:id="1478"/>
      <w:bookmarkEnd w:id="1479"/>
      <w:bookmarkEnd w:id="148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481" w:name="_Toc137"/>
      <w:bookmarkStart w:id="1482" w:name="_Toc14010"/>
      <w:bookmarkStart w:id="1483" w:name="_Toc4860"/>
      <w:bookmarkStart w:id="1484" w:name="_Toc5843"/>
      <w:bookmarkStart w:id="1485" w:name="_Toc26459"/>
      <w:bookmarkStart w:id="1486" w:name="_Toc8766"/>
      <w:bookmarkStart w:id="1487" w:name="_Toc13981"/>
      <w:bookmarkStart w:id="1488" w:name="_Toc31264"/>
      <w:bookmarkStart w:id="1489" w:name="_Toc11989"/>
      <w:r>
        <w:rPr>
          <w:rFonts w:hint="eastAsia" w:asciiTheme="minorEastAsia" w:hAnsiTheme="minorEastAsia" w:eastAsiaTheme="minorEastAsia" w:cstheme="minorEastAsia"/>
          <w:b w:val="0"/>
          <w:bCs w:val="0"/>
          <w:sz w:val="24"/>
          <w:lang w:val="en-US" w:eastAsia="zh-CN"/>
        </w:rPr>
        <w:t>（八）、安全总监生产职责</w:t>
      </w:r>
      <w:bookmarkEnd w:id="1481"/>
      <w:bookmarkEnd w:id="1482"/>
      <w:bookmarkEnd w:id="1483"/>
      <w:bookmarkEnd w:id="1484"/>
      <w:bookmarkEnd w:id="1485"/>
      <w:bookmarkEnd w:id="1486"/>
      <w:bookmarkEnd w:id="1487"/>
      <w:bookmarkEnd w:id="1488"/>
      <w:bookmarkEnd w:id="148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490" w:name="_Toc19626"/>
      <w:bookmarkStart w:id="1491" w:name="_Toc15954"/>
      <w:bookmarkStart w:id="1492" w:name="_Toc17109"/>
      <w:bookmarkStart w:id="1493" w:name="_Toc3338"/>
      <w:bookmarkStart w:id="1494" w:name="_Toc21292"/>
      <w:bookmarkStart w:id="1495" w:name="_Toc9413"/>
      <w:bookmarkStart w:id="1496" w:name="_Toc14416"/>
      <w:bookmarkStart w:id="1497" w:name="_Toc3479"/>
      <w:bookmarkStart w:id="1498" w:name="_Toc17458"/>
      <w:bookmarkStart w:id="1499" w:name="_Toc26788"/>
      <w:bookmarkStart w:id="1500" w:name="_Toc21537"/>
      <w:bookmarkStart w:id="1501" w:name="_Toc22619"/>
      <w:r>
        <w:rPr>
          <w:rFonts w:hint="eastAsia" w:asciiTheme="minorEastAsia" w:hAnsiTheme="minorEastAsia" w:eastAsiaTheme="minorEastAsia" w:cstheme="minorEastAsia"/>
          <w:b w:val="0"/>
          <w:bCs w:val="0"/>
          <w:sz w:val="24"/>
          <w:lang w:val="en-US" w:eastAsia="zh-CN"/>
        </w:rPr>
        <w:t>1.监督项目经理部履行安全生产职责，监督项目日常安全管理工作。</w:t>
      </w:r>
      <w:bookmarkEnd w:id="1490"/>
      <w:bookmarkEnd w:id="1491"/>
      <w:bookmarkEnd w:id="149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02" w:name="_Toc525"/>
      <w:bookmarkStart w:id="1503" w:name="_Toc15281"/>
      <w:bookmarkStart w:id="1504" w:name="_Toc15013"/>
      <w:r>
        <w:rPr>
          <w:rFonts w:hint="eastAsia" w:asciiTheme="minorEastAsia" w:hAnsiTheme="minorEastAsia" w:eastAsiaTheme="minorEastAsia" w:cstheme="minorEastAsia"/>
          <w:b w:val="0"/>
          <w:bCs w:val="0"/>
          <w:sz w:val="24"/>
          <w:lang w:val="en-US" w:eastAsia="zh-CN"/>
        </w:rPr>
        <w:t>2.贯彻执行党和国家有关安全生产的方针政策和法规、规范。</w:t>
      </w:r>
      <w:bookmarkEnd w:id="1502"/>
      <w:bookmarkEnd w:id="1503"/>
      <w:bookmarkEnd w:id="150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05" w:name="_Toc1920"/>
      <w:bookmarkStart w:id="1506" w:name="_Toc12679"/>
      <w:bookmarkStart w:id="1507" w:name="_Toc4280"/>
      <w:r>
        <w:rPr>
          <w:rFonts w:hint="eastAsia" w:asciiTheme="minorEastAsia" w:hAnsiTheme="minorEastAsia" w:eastAsiaTheme="minorEastAsia" w:cstheme="minorEastAsia"/>
          <w:b w:val="0"/>
          <w:bCs w:val="0"/>
          <w:sz w:val="24"/>
          <w:lang w:val="en-US" w:eastAsia="zh-CN"/>
        </w:rPr>
        <w:t>3.督促项目部日常管理中把安全生产纳入项目管理重点，监督项目经理部审定项目安全工作计划，及时督促组织研究解决安全生产突出问题。</w:t>
      </w:r>
      <w:bookmarkEnd w:id="1505"/>
      <w:bookmarkEnd w:id="1506"/>
      <w:bookmarkEnd w:id="150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08" w:name="_Toc1492"/>
      <w:bookmarkStart w:id="1509" w:name="_Toc9979"/>
      <w:bookmarkStart w:id="1510" w:name="_Toc18162"/>
      <w:r>
        <w:rPr>
          <w:rFonts w:hint="eastAsia" w:asciiTheme="minorEastAsia" w:hAnsiTheme="minorEastAsia" w:eastAsiaTheme="minorEastAsia" w:cstheme="minorEastAsia"/>
          <w:b w:val="0"/>
          <w:bCs w:val="0"/>
          <w:sz w:val="24"/>
          <w:lang w:val="en-US" w:eastAsia="zh-CN"/>
        </w:rPr>
        <w:t>4.监督项目经理部落实项目安全风险动态管理工作，推动构建安全风险分级管控和隐患排查治理预防工作机制。</w:t>
      </w:r>
      <w:bookmarkEnd w:id="1508"/>
      <w:bookmarkEnd w:id="1509"/>
      <w:bookmarkEnd w:id="151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11" w:name="_Toc30491"/>
      <w:bookmarkStart w:id="1512" w:name="_Toc3478"/>
      <w:bookmarkStart w:id="1513" w:name="_Toc8926"/>
      <w:r>
        <w:rPr>
          <w:rFonts w:hint="eastAsia" w:asciiTheme="minorEastAsia" w:hAnsiTheme="minorEastAsia" w:eastAsiaTheme="minorEastAsia" w:cstheme="minorEastAsia"/>
          <w:b w:val="0"/>
          <w:bCs w:val="0"/>
          <w:sz w:val="24"/>
          <w:lang w:val="en-US" w:eastAsia="zh-CN"/>
        </w:rPr>
        <w:t>5.参与项目周月安全检查、专项检查等安全检查工作，并督促及时整改落实。</w:t>
      </w:r>
      <w:bookmarkEnd w:id="1511"/>
      <w:bookmarkEnd w:id="1512"/>
      <w:bookmarkEnd w:id="151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14" w:name="_Toc30658"/>
      <w:bookmarkStart w:id="1515" w:name="_Toc21923"/>
      <w:bookmarkStart w:id="1516" w:name="_Toc17680"/>
      <w:r>
        <w:rPr>
          <w:rFonts w:hint="eastAsia" w:asciiTheme="minorEastAsia" w:hAnsiTheme="minorEastAsia" w:eastAsiaTheme="minorEastAsia" w:cstheme="minorEastAsia"/>
          <w:b w:val="0"/>
          <w:bCs w:val="0"/>
          <w:sz w:val="24"/>
          <w:lang w:val="en-US" w:eastAsia="zh-CN"/>
        </w:rPr>
        <w:t>6.参与审核项目年度职业健康安全目标，督促项目部与各部室负责人签订安全生产目标责任书。</w:t>
      </w:r>
      <w:bookmarkEnd w:id="1514"/>
      <w:bookmarkEnd w:id="1515"/>
      <w:bookmarkEnd w:id="151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17" w:name="_Toc18321"/>
      <w:bookmarkStart w:id="1518" w:name="_Toc30305"/>
      <w:bookmarkStart w:id="1519" w:name="_Toc28014"/>
      <w:r>
        <w:rPr>
          <w:rFonts w:hint="eastAsia" w:asciiTheme="minorEastAsia" w:hAnsiTheme="minorEastAsia" w:eastAsiaTheme="minorEastAsia" w:cstheme="minorEastAsia"/>
          <w:b w:val="0"/>
          <w:bCs w:val="0"/>
          <w:sz w:val="24"/>
          <w:lang w:val="en-US" w:eastAsia="zh-CN"/>
        </w:rPr>
        <w:t>7.监督项目经理部组织制定并实施本单位安全生产教育和培训计划，督促安全生产投入的有效实施。</w:t>
      </w:r>
      <w:bookmarkEnd w:id="1517"/>
      <w:bookmarkEnd w:id="1518"/>
      <w:bookmarkEnd w:id="151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20" w:name="_Toc9430"/>
      <w:bookmarkStart w:id="1521" w:name="_Toc4966"/>
      <w:bookmarkStart w:id="1522" w:name="_Toc5602"/>
      <w:r>
        <w:rPr>
          <w:rFonts w:hint="eastAsia" w:asciiTheme="minorEastAsia" w:hAnsiTheme="minorEastAsia" w:eastAsiaTheme="minorEastAsia" w:cstheme="minorEastAsia"/>
          <w:b w:val="0"/>
          <w:bCs w:val="0"/>
          <w:sz w:val="24"/>
          <w:lang w:val="en-US" w:eastAsia="zh-CN"/>
        </w:rPr>
        <w:t>8.监督项目经理部定期召开项目安全生产、职业健康会议，分析安全生产、职业健康形势，对安全生产、职业健康重大事宜或奖惩提出意见，并督促检查落实，参与审定安全生产、职业健康考核。</w:t>
      </w:r>
      <w:bookmarkEnd w:id="1520"/>
      <w:bookmarkEnd w:id="1521"/>
      <w:bookmarkEnd w:id="152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23" w:name="_Toc19975"/>
      <w:bookmarkStart w:id="1524" w:name="_Toc22106"/>
      <w:r>
        <w:rPr>
          <w:rFonts w:hint="eastAsia" w:asciiTheme="minorEastAsia" w:hAnsiTheme="minorEastAsia" w:eastAsiaTheme="minorEastAsia" w:cstheme="minorEastAsia"/>
          <w:b w:val="0"/>
          <w:bCs w:val="0"/>
          <w:sz w:val="24"/>
          <w:lang w:val="en-US" w:eastAsia="zh-CN"/>
        </w:rPr>
        <w:t>9.监督项目部在计划、布置、检查、总结、评比生产工作的同时，落实安全生产工作要求。</w:t>
      </w:r>
      <w:bookmarkEnd w:id="1523"/>
      <w:bookmarkEnd w:id="152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25" w:name="_Toc3718"/>
      <w:bookmarkStart w:id="1526" w:name="_Toc13253"/>
      <w:bookmarkStart w:id="1527" w:name="_Toc32340"/>
      <w:r>
        <w:rPr>
          <w:rFonts w:hint="eastAsia" w:asciiTheme="minorEastAsia" w:hAnsiTheme="minorEastAsia" w:eastAsiaTheme="minorEastAsia" w:cstheme="minorEastAsia"/>
          <w:b w:val="0"/>
          <w:bCs w:val="0"/>
          <w:sz w:val="24"/>
          <w:lang w:val="en-US" w:eastAsia="zh-CN"/>
        </w:rPr>
        <w:t>10.监督项目部落实领导带班检查制度，做好安全生产带班检查工作。</w:t>
      </w:r>
      <w:bookmarkEnd w:id="1525"/>
      <w:bookmarkEnd w:id="1526"/>
      <w:bookmarkEnd w:id="152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28" w:name="_Toc23024"/>
      <w:bookmarkStart w:id="1529" w:name="_Toc30969"/>
      <w:bookmarkStart w:id="1530" w:name="_Toc14146"/>
      <w:r>
        <w:rPr>
          <w:rFonts w:hint="eastAsia" w:asciiTheme="minorEastAsia" w:hAnsiTheme="minorEastAsia" w:eastAsiaTheme="minorEastAsia" w:cstheme="minorEastAsia"/>
          <w:b w:val="0"/>
          <w:bCs w:val="0"/>
          <w:sz w:val="24"/>
          <w:lang w:val="en-US" w:eastAsia="zh-CN"/>
        </w:rPr>
        <w:t>11.监督并参与项目组织开展的应急演练工作。</w:t>
      </w:r>
      <w:bookmarkEnd w:id="1528"/>
      <w:bookmarkEnd w:id="1529"/>
      <w:bookmarkEnd w:id="153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31" w:name="_Toc1686"/>
      <w:bookmarkStart w:id="1532" w:name="_Toc24595"/>
      <w:bookmarkStart w:id="1533" w:name="_Toc14834"/>
      <w:r>
        <w:rPr>
          <w:rFonts w:hint="eastAsia" w:asciiTheme="minorEastAsia" w:hAnsiTheme="minorEastAsia" w:eastAsiaTheme="minorEastAsia" w:cstheme="minorEastAsia"/>
          <w:b w:val="0"/>
          <w:bCs w:val="0"/>
          <w:sz w:val="24"/>
          <w:lang w:val="en-US" w:eastAsia="zh-CN"/>
        </w:rPr>
        <w:t>12.发生安全生产事故（件）时，监督并参加项目经理部的应急救援，配合上级主管部门开展事故调查。</w:t>
      </w:r>
      <w:bookmarkEnd w:id="1531"/>
      <w:bookmarkEnd w:id="1532"/>
      <w:bookmarkEnd w:id="153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lang w:val="en-US" w:eastAsia="zh-CN"/>
        </w:rPr>
      </w:pPr>
      <w:r>
        <w:rPr>
          <w:rFonts w:hint="eastAsia" w:asciiTheme="minorEastAsia" w:hAnsiTheme="minorEastAsia" w:eastAsiaTheme="minorEastAsia" w:cstheme="minorEastAsia"/>
          <w:b w:val="0"/>
          <w:bCs w:val="0"/>
          <w:sz w:val="24"/>
          <w:lang w:val="en-US" w:eastAsia="zh-CN"/>
        </w:rPr>
        <w:t>13.对项目安全生产工作负监督责任。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（九）、项目生产副经理安全生产职责</w:t>
      </w:r>
      <w:bookmarkEnd w:id="1493"/>
      <w:bookmarkEnd w:id="1494"/>
      <w:bookmarkEnd w:id="1495"/>
      <w:bookmarkEnd w:id="1496"/>
      <w:bookmarkEnd w:id="1497"/>
      <w:bookmarkEnd w:id="1498"/>
      <w:bookmarkEnd w:id="1499"/>
      <w:bookmarkEnd w:id="1500"/>
      <w:bookmarkEnd w:id="150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34" w:name="_Toc29245"/>
      <w:bookmarkStart w:id="1535" w:name="_Toc1991"/>
      <w:r>
        <w:rPr>
          <w:rFonts w:hint="eastAsia" w:asciiTheme="minorEastAsia" w:hAnsiTheme="minorEastAsia" w:eastAsiaTheme="minorEastAsia" w:cstheme="minorEastAsia"/>
          <w:b w:val="0"/>
          <w:bCs w:val="0"/>
          <w:sz w:val="24"/>
          <w:lang w:val="en-US" w:eastAsia="zh-CN"/>
        </w:rPr>
        <w:t>1.具体负责本项目施工管理过程中对安全生产的组织、管理、指挥、协调等工作。是本项目安全生产的直接责任人，协助项目经理做好对本项目的安全生产管理工作。</w:t>
      </w:r>
      <w:bookmarkEnd w:id="1534"/>
      <w:bookmarkEnd w:id="153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36" w:name="_Toc29234"/>
      <w:bookmarkStart w:id="1537" w:name="_Toc20337"/>
      <w:bookmarkStart w:id="1538" w:name="_Toc29685"/>
      <w:r>
        <w:rPr>
          <w:rFonts w:hint="eastAsia" w:asciiTheme="minorEastAsia" w:hAnsiTheme="minorEastAsia" w:eastAsiaTheme="minorEastAsia" w:cstheme="minorEastAsia"/>
          <w:b w:val="0"/>
          <w:bCs w:val="0"/>
          <w:sz w:val="24"/>
          <w:lang w:val="en-US" w:eastAsia="zh-CN"/>
        </w:rPr>
        <w:t>2.认真贯彻实施国家、地方的有关法律、法规、规范和其它要求，树立“安全第一”的思想，当进度与质量、安全生产发生矛盾时，首先保证安全。</w:t>
      </w:r>
      <w:bookmarkEnd w:id="1536"/>
      <w:bookmarkEnd w:id="1537"/>
      <w:bookmarkEnd w:id="153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39" w:name="_Toc15903"/>
      <w:bookmarkStart w:id="1540" w:name="_Toc13479"/>
      <w:bookmarkStart w:id="1541" w:name="_Toc23157"/>
      <w:r>
        <w:rPr>
          <w:rFonts w:hint="eastAsia" w:asciiTheme="minorEastAsia" w:hAnsiTheme="minorEastAsia" w:eastAsiaTheme="minorEastAsia" w:cstheme="minorEastAsia"/>
          <w:b w:val="0"/>
          <w:bCs w:val="0"/>
          <w:sz w:val="24"/>
          <w:lang w:val="en-US" w:eastAsia="zh-CN"/>
        </w:rPr>
        <w:t>3.在施工前精心策划、合理安排各工序，在掌握生产进度的同时掌握安全动态。监督各项技术、安全措施的落实。</w:t>
      </w:r>
      <w:bookmarkEnd w:id="1539"/>
      <w:bookmarkEnd w:id="1540"/>
      <w:bookmarkEnd w:id="154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42" w:name="_Toc17710"/>
      <w:bookmarkStart w:id="1543" w:name="_Toc17744"/>
      <w:bookmarkStart w:id="1544" w:name="_Toc30926"/>
      <w:r>
        <w:rPr>
          <w:rFonts w:hint="eastAsia" w:asciiTheme="minorEastAsia" w:hAnsiTheme="minorEastAsia" w:eastAsiaTheme="minorEastAsia" w:cstheme="minorEastAsia"/>
          <w:b w:val="0"/>
          <w:bCs w:val="0"/>
          <w:sz w:val="24"/>
          <w:lang w:val="en-US" w:eastAsia="zh-CN"/>
        </w:rPr>
        <w:t>4.落实“施工组织设计”、“专项施工方案”中的安全技术措施，检查指导安全技术交底与安全设施验收工作。</w:t>
      </w:r>
      <w:bookmarkEnd w:id="1542"/>
      <w:bookmarkEnd w:id="1543"/>
      <w:bookmarkEnd w:id="154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545" w:name="_Toc3725"/>
      <w:bookmarkStart w:id="1546" w:name="_Toc4918"/>
      <w:bookmarkStart w:id="1547" w:name="_Toc28464"/>
      <w:bookmarkStart w:id="1548" w:name="_Toc21358"/>
      <w:bookmarkStart w:id="1549" w:name="_Toc5552"/>
      <w:bookmarkStart w:id="1550" w:name="_Toc2880"/>
      <w:bookmarkStart w:id="1551" w:name="_Toc1578"/>
      <w:r>
        <w:rPr>
          <w:rFonts w:hint="eastAsia" w:asciiTheme="minorEastAsia" w:hAnsiTheme="minorEastAsia" w:eastAsiaTheme="minorEastAsia" w:cstheme="minorEastAsia"/>
          <w:b w:val="0"/>
          <w:bCs w:val="0"/>
          <w:sz w:val="24"/>
          <w:lang w:val="en-US" w:eastAsia="zh-CN"/>
        </w:rPr>
        <w:t>5.组织安全生产检查和安全工作会议，对职工进行安全教育。</w:t>
      </w:r>
      <w:bookmarkEnd w:id="1545"/>
      <w:bookmarkEnd w:id="1546"/>
      <w:bookmarkEnd w:id="1547"/>
      <w:bookmarkEnd w:id="1548"/>
      <w:bookmarkEnd w:id="1549"/>
      <w:bookmarkEnd w:id="1550"/>
      <w:bookmarkEnd w:id="155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52" w:name="_Toc22618"/>
      <w:bookmarkStart w:id="1553" w:name="_Toc9242"/>
      <w:bookmarkStart w:id="1554" w:name="_Toc26458"/>
      <w:r>
        <w:rPr>
          <w:rFonts w:hint="eastAsia" w:asciiTheme="minorEastAsia" w:hAnsiTheme="minorEastAsia" w:eastAsiaTheme="minorEastAsia" w:cstheme="minorEastAsia"/>
          <w:b w:val="0"/>
          <w:bCs w:val="0"/>
          <w:sz w:val="24"/>
          <w:lang w:val="en-US" w:eastAsia="zh-CN"/>
        </w:rPr>
        <w:t>6.参加事故事件的调查、分析、处理，向上级主管部门和领导及时反馈信息。</w:t>
      </w:r>
      <w:bookmarkEnd w:id="1552"/>
      <w:bookmarkEnd w:id="1553"/>
      <w:bookmarkEnd w:id="155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555" w:name="_Toc17020"/>
      <w:bookmarkStart w:id="1556" w:name="_Toc15726"/>
      <w:bookmarkStart w:id="1557" w:name="_Toc3158"/>
      <w:bookmarkStart w:id="1558" w:name="_Toc18368"/>
      <w:bookmarkStart w:id="1559" w:name="_Toc17658"/>
      <w:bookmarkStart w:id="1560" w:name="_Toc1156"/>
      <w:bookmarkStart w:id="1561" w:name="_Toc23422"/>
      <w:r>
        <w:rPr>
          <w:rFonts w:hint="eastAsia" w:asciiTheme="minorEastAsia" w:hAnsiTheme="minorEastAsia" w:eastAsiaTheme="minorEastAsia" w:cstheme="minorEastAsia"/>
          <w:b w:val="0"/>
          <w:bCs w:val="0"/>
          <w:sz w:val="24"/>
          <w:lang w:val="en-US" w:eastAsia="zh-CN"/>
        </w:rPr>
        <w:t>7.协助建立安全预防控制体系和隐患排查治理体系。</w:t>
      </w:r>
      <w:bookmarkEnd w:id="1555"/>
      <w:bookmarkEnd w:id="1556"/>
      <w:bookmarkEnd w:id="1557"/>
      <w:bookmarkEnd w:id="1558"/>
      <w:bookmarkEnd w:id="1559"/>
      <w:bookmarkEnd w:id="1560"/>
      <w:bookmarkEnd w:id="156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62" w:name="_Toc9024"/>
      <w:bookmarkStart w:id="1563" w:name="_Toc9031"/>
      <w:bookmarkStart w:id="1564" w:name="_Toc9752"/>
      <w:r>
        <w:rPr>
          <w:rFonts w:hint="eastAsia" w:asciiTheme="minorEastAsia" w:hAnsiTheme="minorEastAsia" w:eastAsiaTheme="minorEastAsia" w:cstheme="minorEastAsia"/>
          <w:b w:val="0"/>
          <w:bCs w:val="0"/>
          <w:sz w:val="24"/>
          <w:lang w:val="en-US" w:eastAsia="zh-CN"/>
        </w:rPr>
        <w:t>8.组织参与每天的现场安全巡视，组织有关人员定期进行安全生产和文明施工检查，并对发现的问题及时组织整改。督促项目各管理人员及时进行安全资料填写。</w:t>
      </w:r>
      <w:bookmarkEnd w:id="1562"/>
      <w:bookmarkEnd w:id="1563"/>
      <w:bookmarkEnd w:id="156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65" w:name="_Toc23143"/>
      <w:bookmarkStart w:id="1566" w:name="_Toc23911"/>
      <w:bookmarkStart w:id="1567" w:name="_Toc31792"/>
      <w:r>
        <w:rPr>
          <w:rFonts w:hint="eastAsia" w:asciiTheme="minorEastAsia" w:hAnsiTheme="minorEastAsia" w:eastAsiaTheme="minorEastAsia" w:cstheme="minorEastAsia"/>
          <w:b w:val="0"/>
          <w:bCs w:val="0"/>
          <w:sz w:val="24"/>
          <w:lang w:val="en-US" w:eastAsia="zh-CN"/>
        </w:rPr>
        <w:t>9.认真做好对职工的安全教育、培训和考核工作，督促有关人员做好对本项目特种作业人员的管理。</w:t>
      </w:r>
      <w:bookmarkEnd w:id="1565"/>
      <w:bookmarkEnd w:id="1566"/>
      <w:bookmarkEnd w:id="156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68" w:name="_Toc11067"/>
      <w:bookmarkStart w:id="1569" w:name="_Toc19080"/>
      <w:bookmarkStart w:id="1570" w:name="_Toc3544"/>
      <w:r>
        <w:rPr>
          <w:rFonts w:hint="eastAsia" w:asciiTheme="minorEastAsia" w:hAnsiTheme="minorEastAsia" w:eastAsiaTheme="minorEastAsia" w:cstheme="minorEastAsia"/>
          <w:b w:val="0"/>
          <w:bCs w:val="0"/>
          <w:sz w:val="24"/>
          <w:lang w:val="en-US" w:eastAsia="zh-CN"/>
        </w:rPr>
        <w:t>10.监督项目安全生产费用的规范使用。</w:t>
      </w:r>
      <w:bookmarkEnd w:id="1568"/>
      <w:bookmarkEnd w:id="1569"/>
      <w:bookmarkEnd w:id="157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71" w:name="_Toc7258"/>
      <w:bookmarkStart w:id="1572" w:name="_Toc20178"/>
      <w:bookmarkStart w:id="1573" w:name="_Toc30391"/>
      <w:r>
        <w:rPr>
          <w:rFonts w:hint="eastAsia" w:asciiTheme="minorEastAsia" w:hAnsiTheme="minorEastAsia" w:eastAsiaTheme="minorEastAsia" w:cstheme="minorEastAsia"/>
          <w:b w:val="0"/>
          <w:bCs w:val="0"/>
          <w:sz w:val="24"/>
          <w:lang w:val="en-US" w:eastAsia="zh-CN"/>
        </w:rPr>
        <w:t>11.组织和参加事故应急救援预案培训、演练。</w:t>
      </w:r>
      <w:bookmarkEnd w:id="1571"/>
      <w:bookmarkEnd w:id="1572"/>
      <w:bookmarkEnd w:id="157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74" w:name="_Toc30664"/>
      <w:bookmarkStart w:id="1575" w:name="_Toc26753"/>
      <w:bookmarkStart w:id="1576" w:name="_Toc1146"/>
      <w:r>
        <w:rPr>
          <w:rFonts w:hint="eastAsia" w:asciiTheme="minorEastAsia" w:hAnsiTheme="minorEastAsia" w:eastAsiaTheme="minorEastAsia" w:cstheme="minorEastAsia"/>
          <w:b w:val="0"/>
          <w:bCs w:val="0"/>
          <w:sz w:val="24"/>
          <w:lang w:val="en-US" w:eastAsia="zh-CN"/>
        </w:rPr>
        <w:t>12.发现伤亡事故时及时组织抢救、保护现场，并及时上报。</w:t>
      </w:r>
      <w:bookmarkEnd w:id="1574"/>
      <w:bookmarkEnd w:id="1575"/>
      <w:bookmarkEnd w:id="157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577" w:name="_Toc29825"/>
      <w:bookmarkStart w:id="1578" w:name="_Toc5970"/>
      <w:bookmarkStart w:id="1579" w:name="_Toc9808"/>
      <w:bookmarkStart w:id="1580" w:name="_Toc4337"/>
      <w:bookmarkStart w:id="1581" w:name="_Toc24166"/>
      <w:bookmarkStart w:id="1582" w:name="_Toc23662"/>
      <w:bookmarkStart w:id="1583" w:name="_Toc1656"/>
      <w:bookmarkStart w:id="1584" w:name="_Toc29452"/>
      <w:bookmarkStart w:id="1585" w:name="_Toc20712"/>
      <w:r>
        <w:rPr>
          <w:rFonts w:hint="eastAsia" w:asciiTheme="minorEastAsia" w:hAnsiTheme="minorEastAsia" w:eastAsiaTheme="minorEastAsia" w:cstheme="minorEastAsia"/>
          <w:b w:val="0"/>
          <w:bCs w:val="0"/>
          <w:sz w:val="24"/>
          <w:lang w:val="en-US" w:eastAsia="zh-CN"/>
        </w:rPr>
        <w:t>（十）、项目部安全员安全生产职责</w:t>
      </w:r>
      <w:bookmarkEnd w:id="1577"/>
      <w:bookmarkEnd w:id="1578"/>
      <w:bookmarkEnd w:id="1579"/>
      <w:bookmarkEnd w:id="1580"/>
      <w:bookmarkEnd w:id="1581"/>
      <w:bookmarkEnd w:id="1582"/>
      <w:bookmarkEnd w:id="1583"/>
      <w:bookmarkEnd w:id="1584"/>
      <w:bookmarkEnd w:id="158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86" w:name="_Toc26693"/>
      <w:bookmarkStart w:id="1587" w:name="_Toc10492"/>
      <w:r>
        <w:rPr>
          <w:rFonts w:hint="eastAsia" w:asciiTheme="minorEastAsia" w:hAnsiTheme="minorEastAsia" w:eastAsiaTheme="minorEastAsia" w:cstheme="minorEastAsia"/>
          <w:b w:val="0"/>
          <w:bCs w:val="0"/>
          <w:sz w:val="24"/>
          <w:lang w:val="en-US" w:eastAsia="zh-CN"/>
        </w:rPr>
        <w:t>1、认真贯彻执行国家有关安全生产的法律、法规、方针、政策及行业主管部门要求和公司有关安全生产的规章制度。</w:t>
      </w:r>
      <w:bookmarkEnd w:id="1586"/>
      <w:bookmarkEnd w:id="158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88" w:name="_Toc67"/>
      <w:bookmarkStart w:id="1589" w:name="_Toc857"/>
      <w:bookmarkStart w:id="1590" w:name="_Toc293"/>
      <w:r>
        <w:rPr>
          <w:rFonts w:hint="eastAsia" w:asciiTheme="minorEastAsia" w:hAnsiTheme="minorEastAsia" w:eastAsiaTheme="minorEastAsia" w:cstheme="minorEastAsia"/>
          <w:b w:val="0"/>
          <w:bCs w:val="0"/>
          <w:sz w:val="24"/>
          <w:lang w:val="en-US" w:eastAsia="zh-CN"/>
        </w:rPr>
        <w:t>2、组织或者参与拟订本单位安全生产规章制度、操作规程，以及合同段施工专项应急预案和现场处置方案。</w:t>
      </w:r>
      <w:bookmarkEnd w:id="1588"/>
      <w:bookmarkEnd w:id="1589"/>
      <w:bookmarkEnd w:id="159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91" w:name="_Toc18755"/>
      <w:bookmarkStart w:id="1592" w:name="_Toc23223"/>
      <w:bookmarkStart w:id="1593" w:name="_Toc26864"/>
      <w:r>
        <w:rPr>
          <w:rFonts w:hint="eastAsia" w:asciiTheme="minorEastAsia" w:hAnsiTheme="minorEastAsia" w:eastAsiaTheme="minorEastAsia" w:cstheme="minorEastAsia"/>
          <w:b w:val="0"/>
          <w:bCs w:val="0"/>
          <w:sz w:val="24"/>
          <w:lang w:val="en-US" w:eastAsia="zh-CN"/>
        </w:rPr>
        <w:t>3、协助项目负责人搞好职工的安全教育、培训工作，如实记录安全生产教育和培训情况。协助项目负责人定期召开安全会。努力学习和掌握业务技术知识，不断提高业务水平，做好对施工现场的安全生产监督管理工作。</w:t>
      </w:r>
      <w:bookmarkEnd w:id="1591"/>
      <w:bookmarkEnd w:id="1592"/>
      <w:bookmarkEnd w:id="159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94" w:name="_Toc31037"/>
      <w:bookmarkStart w:id="1595" w:name="_Toc1102"/>
      <w:bookmarkStart w:id="1596" w:name="_Toc31808"/>
      <w:r>
        <w:rPr>
          <w:rFonts w:hint="eastAsia" w:asciiTheme="minorEastAsia" w:hAnsiTheme="minorEastAsia" w:eastAsiaTheme="minorEastAsia" w:cstheme="minorEastAsia"/>
          <w:b w:val="0"/>
          <w:bCs w:val="0"/>
          <w:sz w:val="24"/>
          <w:lang w:val="en-US" w:eastAsia="zh-CN"/>
        </w:rPr>
        <w:t>4、督促落实本项目施工安全风险管控措施，现场监督危险性较大工程安全专项施工方案实施情况。</w:t>
      </w:r>
      <w:bookmarkEnd w:id="1594"/>
      <w:bookmarkEnd w:id="1595"/>
      <w:bookmarkEnd w:id="159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597" w:name="_Toc12219"/>
      <w:bookmarkStart w:id="1598" w:name="_Toc20120"/>
      <w:bookmarkStart w:id="1599" w:name="_Toc3928"/>
      <w:r>
        <w:rPr>
          <w:rFonts w:hint="eastAsia" w:asciiTheme="minorEastAsia" w:hAnsiTheme="minorEastAsia" w:eastAsiaTheme="minorEastAsia" w:cstheme="minorEastAsia"/>
          <w:b w:val="0"/>
          <w:bCs w:val="0"/>
          <w:sz w:val="24"/>
          <w:lang w:val="en-US" w:eastAsia="zh-CN"/>
        </w:rPr>
        <w:t>5、认真做好日常检查，保存记录，做到预防为主，监督实施各项安全措施、安全交底，制止违章指挥和违章操作和违反劳动纪律的行为，遇有严重险情，有权暂停生产并组织人员撤离。</w:t>
      </w:r>
      <w:bookmarkEnd w:id="1597"/>
      <w:bookmarkEnd w:id="1598"/>
      <w:bookmarkEnd w:id="159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00" w:name="_Toc8031"/>
      <w:bookmarkStart w:id="1601" w:name="_Toc3252"/>
      <w:bookmarkStart w:id="1602" w:name="_Toc5818"/>
      <w:r>
        <w:rPr>
          <w:rFonts w:hint="eastAsia" w:asciiTheme="minorEastAsia" w:hAnsiTheme="minorEastAsia" w:eastAsiaTheme="minorEastAsia" w:cstheme="minorEastAsia"/>
          <w:b w:val="0"/>
          <w:bCs w:val="0"/>
          <w:sz w:val="24"/>
          <w:lang w:val="en-US" w:eastAsia="zh-CN"/>
        </w:rPr>
        <w:t>6、督促、指导、检查各生产班组搞好班前、后安全活动，总结、交流、推广安全生产经验，配合有关人员搞好新工人入场教育、安全技术培训及变换工种教育，协助有关人员搞好安全生产的宣传，参加安全活动。</w:t>
      </w:r>
      <w:bookmarkEnd w:id="1600"/>
      <w:bookmarkEnd w:id="1601"/>
      <w:bookmarkEnd w:id="160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03" w:name="_Toc4215"/>
      <w:bookmarkStart w:id="1604" w:name="_Toc1853"/>
      <w:bookmarkStart w:id="1605" w:name="_Toc30837"/>
      <w:r>
        <w:rPr>
          <w:rFonts w:hint="eastAsia" w:asciiTheme="minorEastAsia" w:hAnsiTheme="minorEastAsia" w:eastAsiaTheme="minorEastAsia" w:cstheme="minorEastAsia"/>
          <w:b w:val="0"/>
          <w:bCs w:val="0"/>
          <w:sz w:val="24"/>
          <w:lang w:val="en-US" w:eastAsia="zh-CN"/>
        </w:rPr>
        <w:t>7、负责施工现场安全生产的各种验收、签字手续。监督施工现场各种人员正确佩戴和使用安全防护用品。对项目部安全技术措施和安全防护措施的不妥之处有权提出改进意见。</w:t>
      </w:r>
      <w:bookmarkEnd w:id="1603"/>
      <w:bookmarkEnd w:id="1604"/>
      <w:bookmarkEnd w:id="160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606" w:name="_Toc15176"/>
      <w:bookmarkStart w:id="1607" w:name="_Toc29270"/>
      <w:bookmarkStart w:id="1608" w:name="_Toc16600"/>
      <w:bookmarkStart w:id="1609" w:name="_Toc24873"/>
      <w:bookmarkStart w:id="1610" w:name="_Toc4385"/>
      <w:bookmarkStart w:id="1611" w:name="_Toc22049"/>
      <w:bookmarkStart w:id="1612" w:name="_Toc4916"/>
      <w:r>
        <w:rPr>
          <w:rFonts w:hint="eastAsia" w:asciiTheme="minorEastAsia" w:hAnsiTheme="minorEastAsia" w:eastAsiaTheme="minorEastAsia" w:cstheme="minorEastAsia"/>
          <w:b w:val="0"/>
          <w:bCs w:val="0"/>
          <w:sz w:val="24"/>
          <w:lang w:val="en-US" w:eastAsia="zh-CN"/>
        </w:rPr>
        <w:t>8、负责对本项目采购安全防护用品（具）的验收工作。</w:t>
      </w:r>
      <w:bookmarkEnd w:id="1606"/>
      <w:bookmarkEnd w:id="1607"/>
      <w:bookmarkEnd w:id="1608"/>
      <w:bookmarkEnd w:id="1609"/>
      <w:bookmarkEnd w:id="1610"/>
      <w:bookmarkEnd w:id="1611"/>
      <w:bookmarkEnd w:id="161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13" w:name="_Toc3509"/>
      <w:bookmarkStart w:id="1614" w:name="_Toc21177"/>
      <w:r>
        <w:rPr>
          <w:rFonts w:hint="eastAsia" w:asciiTheme="minorEastAsia" w:hAnsiTheme="minorEastAsia" w:eastAsiaTheme="minorEastAsia" w:cstheme="minorEastAsia"/>
          <w:b w:val="0"/>
          <w:bCs w:val="0"/>
          <w:sz w:val="24"/>
          <w:lang w:val="en-US" w:eastAsia="zh-CN"/>
        </w:rPr>
        <w:t>9、参与风险源进行辨识和风险评估，并制定相应的控制措施，将风险源纳入到日常安全检查中，积极落实整改措施。</w:t>
      </w:r>
      <w:bookmarkEnd w:id="1613"/>
      <w:bookmarkEnd w:id="161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15" w:name="_Toc15107"/>
      <w:bookmarkStart w:id="1616" w:name="_Toc8025"/>
      <w:bookmarkStart w:id="1617" w:name="_Toc5255"/>
      <w:r>
        <w:rPr>
          <w:rFonts w:hint="eastAsia" w:asciiTheme="minorEastAsia" w:hAnsiTheme="minorEastAsia" w:eastAsiaTheme="minorEastAsia" w:cstheme="minorEastAsia"/>
          <w:b w:val="0"/>
          <w:bCs w:val="0"/>
          <w:sz w:val="24"/>
          <w:lang w:val="en-US" w:eastAsia="zh-CN"/>
        </w:rPr>
        <w:t>10、依法报告生产安全事故情况，参加本项目部工伤事故的调查分析。</w:t>
      </w:r>
      <w:bookmarkEnd w:id="1615"/>
      <w:bookmarkEnd w:id="1616"/>
      <w:bookmarkEnd w:id="161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18" w:name="_Toc2837"/>
      <w:bookmarkStart w:id="1619" w:name="_Toc1510"/>
      <w:bookmarkStart w:id="1620" w:name="_Toc12833"/>
      <w:r>
        <w:rPr>
          <w:rFonts w:hint="eastAsia" w:asciiTheme="minorEastAsia" w:hAnsiTheme="minorEastAsia" w:eastAsiaTheme="minorEastAsia" w:cstheme="minorEastAsia"/>
          <w:b w:val="0"/>
          <w:bCs w:val="0"/>
          <w:sz w:val="24"/>
          <w:lang w:val="en-US" w:eastAsia="zh-CN"/>
        </w:rPr>
        <w:t>11、负责安全生产管理资料的收集、分类、归档，保证各种记录的完整性、准确性、可追溯性。对上级有关部门提出的 问题应做好监督整改、复查工作，并及时、如实反馈。</w:t>
      </w:r>
      <w:bookmarkEnd w:id="1618"/>
      <w:bookmarkEnd w:id="1619"/>
      <w:bookmarkEnd w:id="162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621" w:name="_Toc20188"/>
      <w:bookmarkStart w:id="1622" w:name="_Toc1096"/>
      <w:bookmarkStart w:id="1623" w:name="_Toc20772"/>
      <w:bookmarkStart w:id="1624" w:name="_Toc2383"/>
      <w:bookmarkStart w:id="1625" w:name="_Toc16919"/>
      <w:bookmarkStart w:id="1626" w:name="_Toc28441"/>
      <w:bookmarkStart w:id="1627" w:name="_Toc3057"/>
      <w:r>
        <w:rPr>
          <w:rFonts w:hint="eastAsia" w:asciiTheme="minorEastAsia" w:hAnsiTheme="minorEastAsia" w:eastAsiaTheme="minorEastAsia" w:cstheme="minorEastAsia"/>
          <w:b w:val="0"/>
          <w:bCs w:val="0"/>
          <w:sz w:val="24"/>
          <w:lang w:val="en-US" w:eastAsia="zh-CN"/>
        </w:rPr>
        <w:t>12、组织或者参与本合同段施工应急救援演练。</w:t>
      </w:r>
      <w:bookmarkEnd w:id="1621"/>
      <w:bookmarkEnd w:id="1622"/>
      <w:bookmarkEnd w:id="1623"/>
      <w:bookmarkEnd w:id="1624"/>
      <w:bookmarkEnd w:id="1625"/>
      <w:bookmarkEnd w:id="1626"/>
      <w:bookmarkEnd w:id="162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28" w:name="_Toc23013"/>
      <w:bookmarkStart w:id="1629" w:name="_Toc5726"/>
      <w:bookmarkStart w:id="1630" w:name="_Toc18202"/>
      <w:r>
        <w:rPr>
          <w:rFonts w:hint="eastAsia" w:asciiTheme="minorEastAsia" w:hAnsiTheme="minorEastAsia" w:eastAsiaTheme="minorEastAsia" w:cstheme="minorEastAsia"/>
          <w:b w:val="0"/>
          <w:bCs w:val="0"/>
          <w:sz w:val="24"/>
          <w:lang w:val="en-US" w:eastAsia="zh-CN"/>
        </w:rPr>
        <w:t>13、及时排查、报告安全事故隐患，并督促落实事故隐患治理措施。</w:t>
      </w:r>
      <w:bookmarkEnd w:id="1628"/>
      <w:bookmarkEnd w:id="1629"/>
      <w:bookmarkEnd w:id="163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631" w:name="_Toc10946"/>
      <w:bookmarkStart w:id="1632" w:name="_Toc6576"/>
      <w:bookmarkStart w:id="1633" w:name="_Toc16944"/>
      <w:bookmarkStart w:id="1634" w:name="_Toc23174"/>
      <w:bookmarkStart w:id="1635" w:name="_Toc5733"/>
      <w:bookmarkStart w:id="1636" w:name="_Toc17955"/>
      <w:bookmarkStart w:id="1637" w:name="_Toc27428"/>
      <w:bookmarkStart w:id="1638" w:name="_Toc24192"/>
      <w:bookmarkStart w:id="1639" w:name="_Toc8367"/>
      <w:r>
        <w:rPr>
          <w:rFonts w:hint="eastAsia" w:asciiTheme="minorEastAsia" w:hAnsiTheme="minorEastAsia" w:eastAsiaTheme="minorEastAsia" w:cstheme="minorEastAsia"/>
          <w:b w:val="0"/>
          <w:bCs w:val="0"/>
          <w:sz w:val="24"/>
          <w:lang w:val="en-US" w:eastAsia="zh-CN"/>
        </w:rPr>
        <w:t>（十一）、项目部技术负责人安全生产职责</w:t>
      </w:r>
      <w:bookmarkEnd w:id="1631"/>
      <w:bookmarkEnd w:id="1632"/>
      <w:bookmarkEnd w:id="1633"/>
      <w:bookmarkEnd w:id="1634"/>
      <w:bookmarkEnd w:id="1635"/>
      <w:bookmarkEnd w:id="1636"/>
      <w:bookmarkEnd w:id="1637"/>
      <w:bookmarkEnd w:id="1638"/>
      <w:bookmarkEnd w:id="163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40" w:name="_Toc7041"/>
      <w:bookmarkStart w:id="1641" w:name="_Toc19359"/>
      <w:bookmarkStart w:id="1642" w:name="_Toc13688"/>
      <w:r>
        <w:rPr>
          <w:rFonts w:hint="eastAsia" w:asciiTheme="minorEastAsia" w:hAnsiTheme="minorEastAsia" w:eastAsiaTheme="minorEastAsia" w:cstheme="minorEastAsia"/>
          <w:b w:val="0"/>
          <w:bCs w:val="0"/>
          <w:sz w:val="24"/>
          <w:lang w:val="en-US" w:eastAsia="zh-CN"/>
        </w:rPr>
        <w:t>1.认真执行国家有关技术标准、规范、规程，负责项目部的技术管理工作，对项目的安全技术负全面责任。</w:t>
      </w:r>
      <w:bookmarkEnd w:id="1640"/>
      <w:bookmarkEnd w:id="1641"/>
      <w:bookmarkEnd w:id="164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43" w:name="_Toc11541"/>
      <w:bookmarkStart w:id="1644" w:name="_Toc31020"/>
      <w:bookmarkStart w:id="1645" w:name="_Toc3341"/>
      <w:r>
        <w:rPr>
          <w:rFonts w:hint="eastAsia" w:asciiTheme="minorEastAsia" w:hAnsiTheme="minorEastAsia" w:eastAsiaTheme="minorEastAsia" w:cstheme="minorEastAsia"/>
          <w:b w:val="0"/>
          <w:bCs w:val="0"/>
          <w:sz w:val="24"/>
          <w:lang w:val="en-US" w:eastAsia="zh-CN"/>
        </w:rPr>
        <w:t>2.编制施工组织设计，对安全难度系数大的施工操作方案进行优化。检查施工组织设计的贯彻、落实、执行情况，确保安全生产。编制本项目分部分项安全技术方案、进行安全技术交底，并监督实施。对施工中涉及安全方面的技术性问题提出解决方案，及时纠正存在的问题。确定危险部位和过程，对风险较大和专业性强的工程项目应组织安全技术论证。</w:t>
      </w:r>
      <w:bookmarkEnd w:id="1643"/>
      <w:bookmarkEnd w:id="1644"/>
      <w:bookmarkEnd w:id="164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46" w:name="_Toc13282"/>
      <w:bookmarkStart w:id="1647" w:name="_Toc380"/>
      <w:bookmarkStart w:id="1648" w:name="_Toc17478"/>
      <w:r>
        <w:rPr>
          <w:rFonts w:hint="eastAsia" w:asciiTheme="minorEastAsia" w:hAnsiTheme="minorEastAsia" w:eastAsiaTheme="minorEastAsia" w:cstheme="minorEastAsia"/>
          <w:b w:val="0"/>
          <w:bCs w:val="0"/>
          <w:sz w:val="24"/>
          <w:lang w:val="en-US" w:eastAsia="zh-CN"/>
        </w:rPr>
        <w:t>3.组织编制安全技术操作规程，制定安全技术措施，督促落实并检查其执行情况。负责组织职工学习安全技术操作规程，对从事特殊过程施工的人员组织培训，及时解决施工中出现的安全技术问题。</w:t>
      </w:r>
      <w:bookmarkEnd w:id="1646"/>
      <w:bookmarkEnd w:id="1647"/>
      <w:bookmarkEnd w:id="164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49" w:name="_Toc10236"/>
      <w:bookmarkStart w:id="1650" w:name="_Toc22554"/>
      <w:bookmarkStart w:id="1651" w:name="_Toc32435"/>
      <w:r>
        <w:rPr>
          <w:rFonts w:hint="eastAsia" w:asciiTheme="minorEastAsia" w:hAnsiTheme="minorEastAsia" w:eastAsiaTheme="minorEastAsia" w:cstheme="minorEastAsia"/>
          <w:b w:val="0"/>
          <w:bCs w:val="0"/>
          <w:sz w:val="24"/>
          <w:lang w:val="en-US" w:eastAsia="zh-CN"/>
        </w:rPr>
        <w:t>4.参与本项目部对新技术、新材料、新设备、新工艺使用过程中相应安全技术措施和安全操作规程的制定与编制工作，并监督其执行。</w:t>
      </w:r>
      <w:bookmarkEnd w:id="1649"/>
      <w:bookmarkEnd w:id="1650"/>
      <w:bookmarkEnd w:id="165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652" w:name="_Toc16341"/>
      <w:bookmarkStart w:id="1653" w:name="_Toc32236"/>
      <w:bookmarkStart w:id="1654" w:name="_Toc14107"/>
      <w:bookmarkStart w:id="1655" w:name="_Toc6360"/>
      <w:bookmarkStart w:id="1656" w:name="_Toc23267"/>
      <w:bookmarkStart w:id="1657" w:name="_Toc20530"/>
      <w:bookmarkStart w:id="1658" w:name="_Toc10612"/>
      <w:r>
        <w:rPr>
          <w:rFonts w:hint="eastAsia" w:asciiTheme="minorEastAsia" w:hAnsiTheme="minorEastAsia" w:eastAsiaTheme="minorEastAsia" w:cstheme="minorEastAsia"/>
          <w:b w:val="0"/>
          <w:bCs w:val="0"/>
          <w:sz w:val="24"/>
          <w:lang w:val="en-US" w:eastAsia="zh-CN"/>
        </w:rPr>
        <w:t>5.协助建立安全预防控制体系和隐患排查治理体系。</w:t>
      </w:r>
      <w:bookmarkEnd w:id="1652"/>
      <w:bookmarkEnd w:id="1653"/>
      <w:bookmarkEnd w:id="1654"/>
      <w:bookmarkEnd w:id="1655"/>
      <w:bookmarkEnd w:id="1656"/>
      <w:bookmarkEnd w:id="1657"/>
      <w:bookmarkEnd w:id="165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59" w:name="_Toc27700"/>
      <w:bookmarkStart w:id="1660" w:name="_Toc2209"/>
      <w:bookmarkStart w:id="1661" w:name="_Toc18576"/>
      <w:r>
        <w:rPr>
          <w:rFonts w:hint="eastAsia" w:asciiTheme="minorEastAsia" w:hAnsiTheme="minorEastAsia" w:eastAsiaTheme="minorEastAsia" w:cstheme="minorEastAsia"/>
          <w:b w:val="0"/>
          <w:bCs w:val="0"/>
          <w:sz w:val="24"/>
          <w:lang w:val="en-US" w:eastAsia="zh-CN"/>
        </w:rPr>
        <w:t>6.按规定参加安全事故的调查、处理，从技术上提出防范 措施，并监督落实</w:t>
      </w:r>
      <w:bookmarkEnd w:id="1659"/>
      <w:bookmarkEnd w:id="1660"/>
      <w:bookmarkEnd w:id="166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62" w:name="_Toc28463"/>
      <w:bookmarkStart w:id="1663" w:name="_Toc6586"/>
      <w:bookmarkStart w:id="1664" w:name="_Toc7261"/>
      <w:r>
        <w:rPr>
          <w:rFonts w:hint="eastAsia" w:asciiTheme="minorEastAsia" w:hAnsiTheme="minorEastAsia" w:eastAsiaTheme="minorEastAsia" w:cstheme="minorEastAsia"/>
          <w:b w:val="0"/>
          <w:bCs w:val="0"/>
          <w:sz w:val="24"/>
          <w:lang w:val="en-US" w:eastAsia="zh-CN"/>
        </w:rPr>
        <w:t>7.负责组织对改善劳动条件、减轻笨重体力劳动、消除噪声和环境、改善劳动条件等方面的综合治理工作进行研究。</w:t>
      </w:r>
      <w:bookmarkEnd w:id="1662"/>
      <w:bookmarkEnd w:id="1663"/>
      <w:bookmarkEnd w:id="166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65" w:name="_Toc7762"/>
      <w:bookmarkStart w:id="1666" w:name="_Toc4007"/>
      <w:bookmarkStart w:id="1667" w:name="_Toc30200"/>
      <w:r>
        <w:rPr>
          <w:rFonts w:hint="eastAsia" w:asciiTheme="minorEastAsia" w:hAnsiTheme="minorEastAsia" w:eastAsiaTheme="minorEastAsia" w:cstheme="minorEastAsia"/>
          <w:b w:val="0"/>
          <w:bCs w:val="0"/>
          <w:sz w:val="24"/>
          <w:lang w:val="en-US" w:eastAsia="zh-CN"/>
        </w:rPr>
        <w:t>8.参加项目部安全检查，督促生产班组及时解决查出来的事故隐患。参与施工现场搭设的脚手架、龙门架、安全网、安装的电器、机械等安全保护装置的验收，合格后方能使用。</w:t>
      </w:r>
      <w:bookmarkEnd w:id="1665"/>
      <w:bookmarkEnd w:id="1666"/>
      <w:bookmarkEnd w:id="166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68" w:name="_Toc15250"/>
      <w:bookmarkStart w:id="1669" w:name="_Toc23985"/>
      <w:bookmarkStart w:id="1670" w:name="_Toc11799"/>
      <w:r>
        <w:rPr>
          <w:rFonts w:hint="eastAsia" w:asciiTheme="minorEastAsia" w:hAnsiTheme="minorEastAsia" w:eastAsiaTheme="minorEastAsia" w:cstheme="minorEastAsia"/>
          <w:b w:val="0"/>
          <w:bCs w:val="0"/>
          <w:sz w:val="24"/>
          <w:lang w:val="en-US" w:eastAsia="zh-CN"/>
        </w:rPr>
        <w:t>9.组织并督促项目部做好对操作人员的施工工艺培训和安全操作技术培训。</w:t>
      </w:r>
      <w:bookmarkEnd w:id="1668"/>
      <w:bookmarkEnd w:id="1669"/>
      <w:bookmarkEnd w:id="167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71" w:name="_Toc28666"/>
      <w:bookmarkStart w:id="1672" w:name="_Toc5898"/>
      <w:bookmarkStart w:id="1673" w:name="_Toc28905"/>
      <w:r>
        <w:rPr>
          <w:rFonts w:hint="eastAsia" w:asciiTheme="minorEastAsia" w:hAnsiTheme="minorEastAsia" w:eastAsiaTheme="minorEastAsia" w:cstheme="minorEastAsia"/>
          <w:b w:val="0"/>
          <w:bCs w:val="0"/>
          <w:sz w:val="24"/>
          <w:lang w:val="en-US" w:eastAsia="zh-CN"/>
        </w:rPr>
        <w:t>10.负责并参与重大安全设备、设施的技术鉴定，组织开展安全技术研究，积极采用先进技术和安全装备。</w:t>
      </w:r>
      <w:bookmarkEnd w:id="1671"/>
      <w:bookmarkEnd w:id="1672"/>
      <w:bookmarkEnd w:id="167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674" w:name="_Toc32745"/>
      <w:bookmarkStart w:id="1675" w:name="_Toc25521"/>
      <w:bookmarkStart w:id="1676" w:name="_Toc10637"/>
      <w:bookmarkStart w:id="1677" w:name="_Toc20578"/>
      <w:bookmarkStart w:id="1678" w:name="_Toc23643"/>
      <w:bookmarkStart w:id="1679" w:name="_Toc5770"/>
      <w:bookmarkStart w:id="1680" w:name="_Toc30339"/>
      <w:bookmarkStart w:id="1681" w:name="_Toc16141"/>
      <w:bookmarkStart w:id="1682" w:name="_Toc18394"/>
      <w:r>
        <w:rPr>
          <w:rFonts w:hint="eastAsia" w:asciiTheme="minorEastAsia" w:hAnsiTheme="minorEastAsia" w:eastAsiaTheme="minorEastAsia" w:cstheme="minorEastAsia"/>
          <w:b w:val="0"/>
          <w:bCs w:val="0"/>
          <w:sz w:val="24"/>
          <w:lang w:val="en-US" w:eastAsia="zh-CN"/>
        </w:rPr>
        <w:t>（十二）、工程技术部员工安全生产职责</w:t>
      </w:r>
      <w:bookmarkEnd w:id="1674"/>
      <w:bookmarkEnd w:id="1675"/>
      <w:bookmarkEnd w:id="1676"/>
      <w:bookmarkEnd w:id="1677"/>
      <w:bookmarkEnd w:id="1678"/>
      <w:bookmarkEnd w:id="1679"/>
      <w:bookmarkEnd w:id="1680"/>
      <w:bookmarkEnd w:id="1681"/>
      <w:bookmarkEnd w:id="168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83" w:name="_Toc32215"/>
      <w:bookmarkStart w:id="1684" w:name="_Toc13319"/>
      <w:bookmarkStart w:id="1685" w:name="_Toc5408"/>
      <w:r>
        <w:rPr>
          <w:rFonts w:hint="eastAsia" w:asciiTheme="minorEastAsia" w:hAnsiTheme="minorEastAsia" w:eastAsiaTheme="minorEastAsia" w:cstheme="minorEastAsia"/>
          <w:b w:val="0"/>
          <w:bCs w:val="0"/>
          <w:sz w:val="24"/>
          <w:lang w:val="en-US" w:eastAsia="zh-CN"/>
        </w:rPr>
        <w:t>1.贯彻执行安全生产法律法规、标准规范、项目部安全生产规章制度；</w:t>
      </w:r>
      <w:bookmarkEnd w:id="1683"/>
      <w:bookmarkEnd w:id="1684"/>
      <w:bookmarkEnd w:id="168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86" w:name="_Toc10955"/>
      <w:bookmarkStart w:id="1687" w:name="_Toc32511"/>
      <w:bookmarkStart w:id="1688" w:name="_Toc26141"/>
      <w:r>
        <w:rPr>
          <w:rFonts w:hint="eastAsia" w:asciiTheme="minorEastAsia" w:hAnsiTheme="minorEastAsia" w:eastAsiaTheme="minorEastAsia" w:cstheme="minorEastAsia"/>
          <w:b w:val="0"/>
          <w:bCs w:val="0"/>
          <w:sz w:val="24"/>
          <w:lang w:val="en-US" w:eastAsia="zh-CN"/>
        </w:rPr>
        <w:t>2.学习掌握本岗位安全生产知识和应急知识，接受安全生产教育和培训，参加应急救援演练，增强事故预防和应急处置能力；</w:t>
      </w:r>
      <w:bookmarkEnd w:id="1686"/>
      <w:bookmarkEnd w:id="1687"/>
      <w:bookmarkEnd w:id="168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689" w:name="_Toc1739"/>
      <w:bookmarkStart w:id="1690" w:name="_Toc7569"/>
      <w:bookmarkStart w:id="1691" w:name="_Toc14736"/>
      <w:bookmarkStart w:id="1692" w:name="_Toc230"/>
      <w:bookmarkStart w:id="1693" w:name="_Toc28380"/>
      <w:bookmarkStart w:id="1694" w:name="_Toc31016"/>
      <w:bookmarkStart w:id="1695" w:name="_Toc31217"/>
      <w:r>
        <w:rPr>
          <w:rFonts w:hint="eastAsia" w:asciiTheme="minorEastAsia" w:hAnsiTheme="minorEastAsia" w:eastAsiaTheme="minorEastAsia" w:cstheme="minorEastAsia"/>
          <w:b w:val="0"/>
          <w:bCs w:val="0"/>
          <w:sz w:val="24"/>
          <w:lang w:val="en-US" w:eastAsia="zh-CN"/>
        </w:rPr>
        <w:t>3.履行本岗位涉及的安全生产职责并负直接责任；</w:t>
      </w:r>
      <w:bookmarkEnd w:id="1689"/>
      <w:bookmarkEnd w:id="1690"/>
      <w:bookmarkEnd w:id="1691"/>
      <w:bookmarkEnd w:id="1692"/>
      <w:bookmarkEnd w:id="1693"/>
      <w:bookmarkEnd w:id="1694"/>
      <w:bookmarkEnd w:id="16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96" w:name="_Toc7870"/>
      <w:bookmarkStart w:id="1697" w:name="_Toc24297"/>
      <w:bookmarkStart w:id="1698" w:name="_Toc6872"/>
      <w:r>
        <w:rPr>
          <w:rFonts w:hint="eastAsia" w:asciiTheme="minorEastAsia" w:hAnsiTheme="minorEastAsia" w:eastAsiaTheme="minorEastAsia" w:cstheme="minorEastAsia"/>
          <w:b w:val="0"/>
          <w:bCs w:val="0"/>
          <w:sz w:val="24"/>
          <w:lang w:val="en-US" w:eastAsia="zh-CN"/>
        </w:rPr>
        <w:t>4.参与制定和修订安全技术操作规程；参与相关应急预案编制、公司及项目的应急救援；</w:t>
      </w:r>
      <w:bookmarkEnd w:id="1696"/>
      <w:bookmarkEnd w:id="1697"/>
      <w:bookmarkEnd w:id="169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699" w:name="_Toc31235"/>
      <w:bookmarkStart w:id="1700" w:name="_Toc29773"/>
      <w:bookmarkStart w:id="1701" w:name="_Toc10786"/>
      <w:r>
        <w:rPr>
          <w:rFonts w:hint="eastAsia" w:asciiTheme="minorEastAsia" w:hAnsiTheme="minorEastAsia" w:eastAsiaTheme="minorEastAsia" w:cstheme="minorEastAsia"/>
          <w:b w:val="0"/>
          <w:bCs w:val="0"/>
          <w:sz w:val="24"/>
          <w:lang w:val="en-US" w:eastAsia="zh-CN"/>
        </w:rPr>
        <w:t>5.参与本岗位安全生产风险辨识，落实管控措施，对本岗位涉及的安全隐患进行排查、治理，发现事故隐患或者其他不安全因素时，立即向现场安全生产管理人员或者相关责人报告；</w:t>
      </w:r>
      <w:bookmarkEnd w:id="1699"/>
      <w:bookmarkEnd w:id="1700"/>
      <w:bookmarkEnd w:id="170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02" w:name="_Toc14666"/>
      <w:bookmarkStart w:id="1703" w:name="_Toc10337"/>
      <w:bookmarkStart w:id="1704" w:name="_Toc3875"/>
      <w:r>
        <w:rPr>
          <w:rFonts w:hint="eastAsia" w:asciiTheme="minorEastAsia" w:hAnsiTheme="minorEastAsia" w:eastAsiaTheme="minorEastAsia" w:cstheme="minorEastAsia"/>
          <w:b w:val="0"/>
          <w:bCs w:val="0"/>
          <w:sz w:val="24"/>
          <w:lang w:val="en-US" w:eastAsia="zh-CN"/>
        </w:rPr>
        <w:t>6.建立、更新本部门适用的法律法规标准规范台账；</w:t>
      </w:r>
      <w:bookmarkEnd w:id="1702"/>
      <w:bookmarkEnd w:id="1703"/>
      <w:bookmarkEnd w:id="170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05" w:name="_Toc6068"/>
      <w:bookmarkStart w:id="1706" w:name="_Toc24714"/>
      <w:bookmarkStart w:id="1707" w:name="_Toc7197"/>
      <w:r>
        <w:rPr>
          <w:rFonts w:hint="eastAsia" w:asciiTheme="minorEastAsia" w:hAnsiTheme="minorEastAsia" w:eastAsiaTheme="minorEastAsia" w:cstheme="minorEastAsia"/>
          <w:b w:val="0"/>
          <w:bCs w:val="0"/>
          <w:sz w:val="24"/>
          <w:lang w:val="en-US" w:eastAsia="zh-CN"/>
        </w:rPr>
        <w:t>7.如实记录安全生产工作，建立健全本部室安全管理档案；</w:t>
      </w:r>
      <w:bookmarkEnd w:id="1705"/>
      <w:bookmarkEnd w:id="1706"/>
      <w:bookmarkEnd w:id="170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08" w:name="_Toc29329"/>
      <w:bookmarkStart w:id="1709" w:name="_Toc18097"/>
      <w:bookmarkStart w:id="1710" w:name="_Toc27178"/>
      <w:r>
        <w:rPr>
          <w:rFonts w:hint="eastAsia" w:asciiTheme="minorEastAsia" w:hAnsiTheme="minorEastAsia" w:eastAsiaTheme="minorEastAsia" w:cstheme="minorEastAsia"/>
          <w:b w:val="0"/>
          <w:bCs w:val="0"/>
          <w:sz w:val="24"/>
          <w:lang w:val="en-US" w:eastAsia="zh-CN"/>
        </w:rPr>
        <w:t>8.参与项目部及部门安全生产工作情况，提出合理化建议和意见；</w:t>
      </w:r>
      <w:bookmarkEnd w:id="1708"/>
      <w:bookmarkEnd w:id="1709"/>
      <w:bookmarkEnd w:id="171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11" w:name="_Toc9684"/>
      <w:bookmarkStart w:id="1712" w:name="_Toc14060"/>
      <w:bookmarkStart w:id="1713" w:name="_Toc20824"/>
      <w:r>
        <w:rPr>
          <w:rFonts w:hint="eastAsia" w:asciiTheme="minorEastAsia" w:hAnsiTheme="minorEastAsia" w:eastAsiaTheme="minorEastAsia" w:cstheme="minorEastAsia"/>
          <w:b w:val="0"/>
          <w:bCs w:val="0"/>
          <w:sz w:val="24"/>
          <w:lang w:val="en-US" w:eastAsia="zh-CN"/>
        </w:rPr>
        <w:t>9.参与项目施工期间，履行项目部岗位安全生产职责。</w:t>
      </w:r>
      <w:bookmarkEnd w:id="1711"/>
      <w:bookmarkEnd w:id="1712"/>
      <w:bookmarkEnd w:id="171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714" w:name="_Toc21881"/>
      <w:bookmarkStart w:id="1715" w:name="_Toc12008"/>
      <w:bookmarkStart w:id="1716" w:name="_Toc16446"/>
      <w:bookmarkStart w:id="1717" w:name="_Toc3575"/>
      <w:bookmarkStart w:id="1718" w:name="_Toc21719"/>
      <w:bookmarkStart w:id="1719" w:name="_Toc27418"/>
      <w:bookmarkStart w:id="1720" w:name="_Toc2492"/>
      <w:bookmarkStart w:id="1721" w:name="_Toc12134"/>
      <w:bookmarkStart w:id="1722" w:name="_Toc20123"/>
      <w:r>
        <w:rPr>
          <w:rFonts w:hint="eastAsia" w:asciiTheme="minorEastAsia" w:hAnsiTheme="minorEastAsia" w:eastAsiaTheme="minorEastAsia" w:cstheme="minorEastAsia"/>
          <w:b w:val="0"/>
          <w:bCs w:val="0"/>
          <w:sz w:val="24"/>
          <w:lang w:val="en-US" w:eastAsia="zh-CN"/>
        </w:rPr>
        <w:t>（十三）、商务合约部负责人安全生产职责</w:t>
      </w:r>
      <w:bookmarkEnd w:id="1714"/>
      <w:bookmarkEnd w:id="1715"/>
      <w:bookmarkEnd w:id="1716"/>
      <w:bookmarkEnd w:id="1717"/>
      <w:bookmarkEnd w:id="1718"/>
      <w:bookmarkEnd w:id="1719"/>
      <w:bookmarkEnd w:id="1720"/>
      <w:bookmarkEnd w:id="1721"/>
      <w:bookmarkEnd w:id="172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23" w:name="_Toc26014"/>
      <w:bookmarkStart w:id="1724" w:name="_Toc22011"/>
      <w:bookmarkStart w:id="1725" w:name="_Toc23557"/>
      <w:r>
        <w:rPr>
          <w:rFonts w:hint="eastAsia" w:asciiTheme="minorEastAsia" w:hAnsiTheme="minorEastAsia" w:eastAsiaTheme="minorEastAsia" w:cstheme="minorEastAsia"/>
          <w:b w:val="0"/>
          <w:bCs w:val="0"/>
          <w:sz w:val="24"/>
          <w:lang w:val="en-US" w:eastAsia="zh-CN"/>
        </w:rPr>
        <w:t>1.贯彻落实安全生产法律法规、方针政策和公司安全生产规章制度，及时传达、组织本部门学习并贯彻落实安全生产工作文件和通知；</w:t>
      </w:r>
      <w:bookmarkEnd w:id="1723"/>
      <w:bookmarkEnd w:id="1724"/>
      <w:bookmarkEnd w:id="172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26" w:name="_Toc10775"/>
      <w:bookmarkStart w:id="1727" w:name="_Toc16018"/>
      <w:bookmarkStart w:id="1728" w:name="_Toc21001"/>
      <w:r>
        <w:rPr>
          <w:rFonts w:hint="eastAsia" w:asciiTheme="minorEastAsia" w:hAnsiTheme="minorEastAsia" w:eastAsiaTheme="minorEastAsia" w:cstheme="minorEastAsia"/>
          <w:b w:val="0"/>
          <w:bCs w:val="0"/>
          <w:sz w:val="24"/>
          <w:lang w:val="en-US" w:eastAsia="zh-CN"/>
        </w:rPr>
        <w:t>2.组织分解并认真落实本部门安全生产工作目标、指标和保障措施；</w:t>
      </w:r>
      <w:bookmarkEnd w:id="1726"/>
      <w:bookmarkEnd w:id="1727"/>
      <w:bookmarkEnd w:id="172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29" w:name="_Toc28970"/>
      <w:bookmarkStart w:id="1730" w:name="_Toc19386"/>
      <w:bookmarkStart w:id="1731" w:name="_Toc24821"/>
      <w:r>
        <w:rPr>
          <w:rFonts w:hint="eastAsia" w:asciiTheme="minorEastAsia" w:hAnsiTheme="minorEastAsia" w:eastAsiaTheme="minorEastAsia" w:cstheme="minorEastAsia"/>
          <w:b w:val="0"/>
          <w:bCs w:val="0"/>
          <w:sz w:val="24"/>
          <w:lang w:val="en-US" w:eastAsia="zh-CN"/>
        </w:rPr>
        <w:t>3.监督业务工作中有关安全生产（制造、经营）许可情况及有关合同条款，防范安全风险；</w:t>
      </w:r>
      <w:bookmarkEnd w:id="1729"/>
      <w:bookmarkEnd w:id="1730"/>
      <w:bookmarkEnd w:id="173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732" w:name="_Toc17401"/>
      <w:bookmarkStart w:id="1733" w:name="_Toc15286"/>
      <w:bookmarkStart w:id="1734" w:name="_Toc25950"/>
      <w:bookmarkStart w:id="1735" w:name="_Toc6842"/>
      <w:bookmarkStart w:id="1736" w:name="_Toc18644"/>
      <w:bookmarkStart w:id="1737" w:name="_Toc20567"/>
      <w:bookmarkStart w:id="1738" w:name="_Toc8545"/>
      <w:r>
        <w:rPr>
          <w:rFonts w:hint="eastAsia" w:asciiTheme="minorEastAsia" w:hAnsiTheme="minorEastAsia" w:eastAsiaTheme="minorEastAsia" w:cstheme="minorEastAsia"/>
          <w:b w:val="0"/>
          <w:bCs w:val="0"/>
          <w:sz w:val="24"/>
          <w:lang w:val="en-US" w:eastAsia="zh-CN"/>
        </w:rPr>
        <w:t>4.积极参加公司安全生产会议,落实会议要求；</w:t>
      </w:r>
      <w:bookmarkEnd w:id="1732"/>
      <w:bookmarkEnd w:id="1733"/>
      <w:bookmarkEnd w:id="1734"/>
      <w:bookmarkEnd w:id="1735"/>
      <w:bookmarkEnd w:id="1736"/>
      <w:bookmarkEnd w:id="1737"/>
      <w:bookmarkEnd w:id="173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39" w:name="_Toc11507"/>
      <w:bookmarkStart w:id="1740" w:name="_Toc8849"/>
      <w:bookmarkStart w:id="1741" w:name="_Toc5742"/>
      <w:r>
        <w:rPr>
          <w:rFonts w:hint="eastAsia" w:asciiTheme="minorEastAsia" w:hAnsiTheme="minorEastAsia" w:eastAsiaTheme="minorEastAsia" w:cstheme="minorEastAsia"/>
          <w:b w:val="0"/>
          <w:bCs w:val="0"/>
          <w:sz w:val="24"/>
          <w:lang w:val="en-US" w:eastAsia="zh-CN"/>
        </w:rPr>
        <w:t>5.负责对本部门的风险源进行辨识和风险评估，并制定相 应的控制措施，将风险源纳入到日常安全检查中，积极落实整改措施。对风险源和易发事故的重点部位实施有效监测、监控，落实重点部位、重点岗位应急措施。</w:t>
      </w:r>
      <w:bookmarkEnd w:id="1739"/>
      <w:bookmarkEnd w:id="1740"/>
      <w:bookmarkEnd w:id="174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42" w:name="_Toc26906"/>
      <w:bookmarkStart w:id="1743" w:name="_Toc4287"/>
      <w:bookmarkStart w:id="1744" w:name="_Toc23214"/>
      <w:r>
        <w:rPr>
          <w:rFonts w:hint="eastAsia" w:asciiTheme="minorEastAsia" w:hAnsiTheme="minorEastAsia" w:eastAsiaTheme="minorEastAsia" w:cstheme="minorEastAsia"/>
          <w:b w:val="0"/>
          <w:bCs w:val="0"/>
          <w:sz w:val="24"/>
          <w:lang w:val="en-US" w:eastAsia="zh-CN"/>
        </w:rPr>
        <w:t>6.组织对本部门办公室各种安全隐患进行日常排查，及时治理；</w:t>
      </w:r>
      <w:bookmarkEnd w:id="1742"/>
      <w:bookmarkEnd w:id="1743"/>
      <w:bookmarkEnd w:id="174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45" w:name="_Toc21350"/>
      <w:bookmarkStart w:id="1746" w:name="_Toc98"/>
      <w:bookmarkStart w:id="1747" w:name="_Toc17126"/>
      <w:r>
        <w:rPr>
          <w:rFonts w:hint="eastAsia" w:asciiTheme="minorEastAsia" w:hAnsiTheme="minorEastAsia" w:eastAsiaTheme="minorEastAsia" w:cstheme="minorEastAsia"/>
          <w:b w:val="0"/>
          <w:bCs w:val="0"/>
          <w:sz w:val="24"/>
          <w:lang w:val="en-US" w:eastAsia="zh-CN"/>
        </w:rPr>
        <w:t>7.参与各种突发事件的应急处置工作；</w:t>
      </w:r>
      <w:bookmarkEnd w:id="1745"/>
      <w:bookmarkEnd w:id="1746"/>
      <w:bookmarkEnd w:id="174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48" w:name="_Toc4409"/>
      <w:bookmarkStart w:id="1749" w:name="_Toc18886"/>
      <w:bookmarkStart w:id="1750" w:name="_Toc24848"/>
      <w:r>
        <w:rPr>
          <w:rFonts w:hint="eastAsia" w:asciiTheme="minorEastAsia" w:hAnsiTheme="minorEastAsia" w:eastAsiaTheme="minorEastAsia" w:cstheme="minorEastAsia"/>
          <w:b w:val="0"/>
          <w:bCs w:val="0"/>
          <w:sz w:val="24"/>
          <w:lang w:val="en-US" w:eastAsia="zh-CN"/>
        </w:rPr>
        <w:t>8.参加项目部安全教育培训，组织本部门安全教育培训并如实记录；</w:t>
      </w:r>
      <w:bookmarkEnd w:id="1748"/>
      <w:bookmarkEnd w:id="1749"/>
      <w:bookmarkEnd w:id="175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51" w:name="_Toc10058"/>
      <w:bookmarkStart w:id="1752" w:name="_Toc28211"/>
      <w:bookmarkStart w:id="1753" w:name="_Toc29242"/>
      <w:r>
        <w:rPr>
          <w:rFonts w:hint="eastAsia" w:asciiTheme="minorEastAsia" w:hAnsiTheme="minorEastAsia" w:eastAsiaTheme="minorEastAsia" w:cstheme="minorEastAsia"/>
          <w:b w:val="0"/>
          <w:bCs w:val="0"/>
          <w:sz w:val="24"/>
          <w:lang w:val="en-US" w:eastAsia="zh-CN"/>
        </w:rPr>
        <w:t>9.组织识别、更新本部门业务适用的安全生产法律法规、标准规范，参加相关评估工作和对公司现行安全生产管理制度的评估工作。</w:t>
      </w:r>
      <w:bookmarkEnd w:id="1751"/>
      <w:bookmarkEnd w:id="1752"/>
      <w:bookmarkEnd w:id="1753"/>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754" w:name="_Toc3731"/>
      <w:bookmarkStart w:id="1755" w:name="_Toc25961"/>
      <w:bookmarkStart w:id="1756" w:name="_Toc5630"/>
      <w:bookmarkStart w:id="1757" w:name="_Toc11514"/>
      <w:bookmarkStart w:id="1758" w:name="_Toc8782"/>
      <w:bookmarkStart w:id="1759" w:name="_Toc13634"/>
      <w:bookmarkStart w:id="1760" w:name="_Toc29572"/>
      <w:bookmarkStart w:id="1761" w:name="_Toc28978"/>
      <w:bookmarkStart w:id="1762" w:name="_Toc16245"/>
      <w:r>
        <w:rPr>
          <w:rFonts w:hint="eastAsia" w:asciiTheme="minorEastAsia" w:hAnsiTheme="minorEastAsia" w:eastAsiaTheme="minorEastAsia" w:cstheme="minorEastAsia"/>
          <w:b w:val="0"/>
          <w:bCs w:val="0"/>
          <w:sz w:val="24"/>
          <w:lang w:val="en-US" w:eastAsia="zh-CN"/>
        </w:rPr>
        <w:t>（十四）、商务合约部员工安全生产职责</w:t>
      </w:r>
      <w:bookmarkEnd w:id="1754"/>
      <w:bookmarkEnd w:id="1755"/>
      <w:bookmarkEnd w:id="1756"/>
      <w:bookmarkEnd w:id="1757"/>
      <w:bookmarkEnd w:id="1758"/>
      <w:bookmarkEnd w:id="1759"/>
      <w:bookmarkEnd w:id="1760"/>
      <w:bookmarkEnd w:id="1761"/>
      <w:bookmarkEnd w:id="176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63" w:name="_Toc3862"/>
      <w:bookmarkStart w:id="1764" w:name="_Toc24518"/>
      <w:bookmarkStart w:id="1765" w:name="_Toc3866"/>
      <w:r>
        <w:rPr>
          <w:rFonts w:hint="eastAsia" w:asciiTheme="minorEastAsia" w:hAnsiTheme="minorEastAsia" w:eastAsiaTheme="minorEastAsia" w:cstheme="minorEastAsia"/>
          <w:b w:val="0"/>
          <w:bCs w:val="0"/>
          <w:sz w:val="24"/>
          <w:lang w:val="en-US" w:eastAsia="zh-CN"/>
        </w:rPr>
        <w:t>1.贯彻执行安全生产法律法规、标准规范、公司安全生产规章制度；</w:t>
      </w:r>
      <w:bookmarkEnd w:id="1763"/>
      <w:bookmarkEnd w:id="1764"/>
      <w:bookmarkEnd w:id="176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66" w:name="_Toc2260"/>
      <w:bookmarkStart w:id="1767" w:name="_Toc29040"/>
      <w:bookmarkStart w:id="1768" w:name="_Toc3484"/>
      <w:r>
        <w:rPr>
          <w:rFonts w:hint="eastAsia" w:asciiTheme="minorEastAsia" w:hAnsiTheme="minorEastAsia" w:eastAsiaTheme="minorEastAsia" w:cstheme="minorEastAsia"/>
          <w:b w:val="0"/>
          <w:bCs w:val="0"/>
          <w:sz w:val="24"/>
          <w:lang w:val="en-US" w:eastAsia="zh-CN"/>
        </w:rPr>
        <w:t>2.学习掌握本岗位安全生产知识和应急知识，接受安全生产教育和培训，参加应急救援演练，增强事故预防和应急处置能力；</w:t>
      </w:r>
      <w:bookmarkEnd w:id="1766"/>
      <w:bookmarkEnd w:id="1767"/>
      <w:bookmarkEnd w:id="176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769" w:name="_Toc7523"/>
      <w:bookmarkStart w:id="1770" w:name="_Toc529"/>
      <w:bookmarkStart w:id="1771" w:name="_Toc28861"/>
      <w:bookmarkStart w:id="1772" w:name="_Toc25267"/>
      <w:bookmarkStart w:id="1773" w:name="_Toc28872"/>
      <w:bookmarkStart w:id="1774" w:name="_Toc30203"/>
      <w:bookmarkStart w:id="1775" w:name="_Toc14524"/>
      <w:r>
        <w:rPr>
          <w:rFonts w:hint="eastAsia" w:asciiTheme="minorEastAsia" w:hAnsiTheme="minorEastAsia" w:eastAsiaTheme="minorEastAsia" w:cstheme="minorEastAsia"/>
          <w:b w:val="0"/>
          <w:bCs w:val="0"/>
          <w:sz w:val="24"/>
          <w:lang w:val="en-US" w:eastAsia="zh-CN"/>
        </w:rPr>
        <w:t>3.履行本岗位涉及的安全生产职责并负直接责任；</w:t>
      </w:r>
      <w:bookmarkEnd w:id="1769"/>
      <w:bookmarkEnd w:id="1770"/>
      <w:bookmarkEnd w:id="1771"/>
      <w:bookmarkEnd w:id="1772"/>
      <w:bookmarkEnd w:id="1773"/>
      <w:bookmarkEnd w:id="1774"/>
      <w:bookmarkEnd w:id="177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76" w:name="_Toc26315"/>
      <w:bookmarkStart w:id="1777" w:name="_Toc3361"/>
      <w:bookmarkStart w:id="1778" w:name="_Toc31444"/>
      <w:r>
        <w:rPr>
          <w:rFonts w:hint="eastAsia" w:asciiTheme="minorEastAsia" w:hAnsiTheme="minorEastAsia" w:eastAsiaTheme="minorEastAsia" w:cstheme="minorEastAsia"/>
          <w:b w:val="0"/>
          <w:bCs w:val="0"/>
          <w:sz w:val="24"/>
          <w:lang w:val="en-US" w:eastAsia="zh-CN"/>
        </w:rPr>
        <w:t>4.业务工作中关注、控制有关安全生产（制造、经营）许可情况及有关合同条款，防范安全风险；</w:t>
      </w:r>
      <w:bookmarkEnd w:id="1776"/>
      <w:bookmarkEnd w:id="1777"/>
      <w:bookmarkEnd w:id="177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79" w:name="_Toc24530"/>
      <w:bookmarkStart w:id="1780" w:name="_Toc13578"/>
      <w:r>
        <w:rPr>
          <w:rFonts w:hint="eastAsia" w:asciiTheme="minorEastAsia" w:hAnsiTheme="minorEastAsia" w:eastAsiaTheme="minorEastAsia" w:cstheme="minorEastAsia"/>
          <w:b w:val="0"/>
          <w:bCs w:val="0"/>
          <w:sz w:val="24"/>
          <w:lang w:val="en-US" w:eastAsia="zh-CN"/>
        </w:rPr>
        <w:t>5.建立本部门业务适用法律法规标准规范台账、安全生产管理档案；</w:t>
      </w:r>
      <w:bookmarkEnd w:id="1779"/>
      <w:bookmarkEnd w:id="178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81" w:name="_Toc25364"/>
      <w:bookmarkStart w:id="1782" w:name="_Toc28243"/>
      <w:bookmarkStart w:id="1783" w:name="_Toc19442"/>
      <w:r>
        <w:rPr>
          <w:rFonts w:hint="eastAsia" w:asciiTheme="minorEastAsia" w:hAnsiTheme="minorEastAsia" w:eastAsiaTheme="minorEastAsia" w:cstheme="minorEastAsia"/>
          <w:b w:val="0"/>
          <w:bCs w:val="0"/>
          <w:sz w:val="24"/>
          <w:lang w:val="en-US" w:eastAsia="zh-CN"/>
        </w:rPr>
        <w:t>6.参与本岗位安全生产风险辨识，落实管控措施，对本岗位涉及的安全隐患进行排查、治理，发现事故隐患或者其他不安全因素时，立即向现场安全生产管理人员或者相关责人报告。</w:t>
      </w:r>
      <w:bookmarkEnd w:id="1781"/>
      <w:bookmarkEnd w:id="1782"/>
      <w:bookmarkEnd w:id="178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784" w:name="_Toc15658"/>
      <w:bookmarkStart w:id="1785" w:name="_Toc769"/>
      <w:bookmarkStart w:id="1786" w:name="_Toc23547"/>
      <w:bookmarkStart w:id="1787" w:name="_Toc19837"/>
      <w:bookmarkStart w:id="1788" w:name="_Toc18145"/>
      <w:bookmarkStart w:id="1789" w:name="_Toc20465"/>
      <w:bookmarkStart w:id="1790" w:name="_Toc15521"/>
      <w:bookmarkStart w:id="1791" w:name="_Toc16952"/>
      <w:bookmarkStart w:id="1792" w:name="_Toc24095"/>
      <w:r>
        <w:rPr>
          <w:rFonts w:hint="eastAsia" w:asciiTheme="minorEastAsia" w:hAnsiTheme="minorEastAsia" w:eastAsiaTheme="minorEastAsia" w:cstheme="minorEastAsia"/>
          <w:b w:val="0"/>
          <w:bCs w:val="0"/>
          <w:sz w:val="24"/>
          <w:lang w:val="en-US" w:eastAsia="zh-CN"/>
        </w:rPr>
        <w:t>（十五）、项目部办公室主任安全生产职责</w:t>
      </w:r>
      <w:bookmarkEnd w:id="1784"/>
      <w:bookmarkEnd w:id="1785"/>
      <w:bookmarkEnd w:id="1786"/>
      <w:bookmarkEnd w:id="1787"/>
      <w:bookmarkEnd w:id="1788"/>
      <w:bookmarkEnd w:id="1789"/>
      <w:bookmarkEnd w:id="1790"/>
      <w:bookmarkEnd w:id="1791"/>
      <w:bookmarkEnd w:id="179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93" w:name="_Toc19445"/>
      <w:bookmarkStart w:id="1794" w:name="_Toc7809"/>
      <w:bookmarkStart w:id="1795" w:name="_Toc25131"/>
      <w:r>
        <w:rPr>
          <w:rFonts w:hint="eastAsia" w:asciiTheme="minorEastAsia" w:hAnsiTheme="minorEastAsia" w:eastAsiaTheme="minorEastAsia" w:cstheme="minorEastAsia"/>
          <w:b w:val="0"/>
          <w:bCs w:val="0"/>
          <w:sz w:val="24"/>
          <w:lang w:val="en-US" w:eastAsia="zh-CN"/>
        </w:rPr>
        <w:t>1.贯彻落实安全生产法律法规、方针政策和项目部安全生产规章制度，及时传达、组织本部门和本系统学习并贯彻落实安全生产工作文件和通知。</w:t>
      </w:r>
      <w:bookmarkEnd w:id="1793"/>
      <w:bookmarkEnd w:id="1794"/>
      <w:bookmarkEnd w:id="17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96" w:name="_Toc30516"/>
      <w:bookmarkStart w:id="1797" w:name="_Toc23107"/>
      <w:bookmarkStart w:id="1798" w:name="_Toc31963"/>
      <w:r>
        <w:rPr>
          <w:rFonts w:hint="eastAsia" w:asciiTheme="minorEastAsia" w:hAnsiTheme="minorEastAsia" w:eastAsiaTheme="minorEastAsia" w:cstheme="minorEastAsia"/>
          <w:b w:val="0"/>
          <w:bCs w:val="0"/>
          <w:sz w:val="24"/>
          <w:lang w:val="en-US" w:eastAsia="zh-CN"/>
        </w:rPr>
        <w:t>2.组织分解并认真落实本部门安全生产工作目标、指标和保障措施。</w:t>
      </w:r>
      <w:bookmarkEnd w:id="1796"/>
      <w:bookmarkEnd w:id="1797"/>
      <w:bookmarkEnd w:id="179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799" w:name="_Toc1046"/>
      <w:bookmarkStart w:id="1800" w:name="_Toc2521"/>
      <w:bookmarkStart w:id="1801" w:name="_Toc29854"/>
      <w:r>
        <w:rPr>
          <w:rFonts w:hint="eastAsia" w:asciiTheme="minorEastAsia" w:hAnsiTheme="minorEastAsia" w:eastAsiaTheme="minorEastAsia" w:cstheme="minorEastAsia"/>
          <w:b w:val="0"/>
          <w:bCs w:val="0"/>
          <w:sz w:val="24"/>
          <w:lang w:val="en-US" w:eastAsia="zh-CN"/>
        </w:rPr>
        <w:t>3.及时批转上级有关安全的公文；对分部安全文件进行核稿，并监督签发到位；协助制定安全管理制度，组织或参与编制交通事故及公共卫生事件专项应急预案；</w:t>
      </w:r>
      <w:bookmarkEnd w:id="1799"/>
      <w:bookmarkEnd w:id="1800"/>
      <w:bookmarkEnd w:id="180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02" w:name="_Toc14192"/>
      <w:bookmarkStart w:id="1803" w:name="_Toc18190"/>
      <w:bookmarkStart w:id="1804" w:name="_Toc1476"/>
      <w:r>
        <w:rPr>
          <w:rFonts w:hint="eastAsia" w:asciiTheme="minorEastAsia" w:hAnsiTheme="minorEastAsia" w:eastAsiaTheme="minorEastAsia" w:cstheme="minorEastAsia"/>
          <w:b w:val="0"/>
          <w:bCs w:val="0"/>
          <w:sz w:val="24"/>
          <w:lang w:val="en-US" w:eastAsia="zh-CN"/>
        </w:rPr>
        <w:t>4.负责编制值班表，督导分部值班工作；对办公区外来人员进行安全告知，并督促其落实；</w:t>
      </w:r>
      <w:bookmarkEnd w:id="1802"/>
      <w:bookmarkEnd w:id="1803"/>
      <w:bookmarkEnd w:id="180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805" w:name="_Toc25451"/>
      <w:bookmarkStart w:id="1806" w:name="_Toc12417"/>
      <w:bookmarkStart w:id="1807" w:name="_Toc12038"/>
      <w:bookmarkStart w:id="1808" w:name="_Toc556"/>
      <w:bookmarkStart w:id="1809" w:name="_Toc29331"/>
      <w:bookmarkStart w:id="1810" w:name="_Toc12011"/>
      <w:bookmarkStart w:id="1811" w:name="_Toc26873"/>
      <w:r>
        <w:rPr>
          <w:rFonts w:hint="eastAsia" w:asciiTheme="minorEastAsia" w:hAnsiTheme="minorEastAsia" w:eastAsiaTheme="minorEastAsia" w:cstheme="minorEastAsia"/>
          <w:b w:val="0"/>
          <w:bCs w:val="0"/>
          <w:sz w:val="24"/>
          <w:lang w:val="en-US" w:eastAsia="zh-CN"/>
        </w:rPr>
        <w:t>5.参加项目部安全生产会议、领导安全检查等安全活动；</w:t>
      </w:r>
      <w:bookmarkEnd w:id="1805"/>
      <w:bookmarkEnd w:id="1806"/>
      <w:bookmarkEnd w:id="1807"/>
      <w:bookmarkEnd w:id="1808"/>
      <w:bookmarkEnd w:id="1809"/>
      <w:bookmarkEnd w:id="1810"/>
      <w:bookmarkEnd w:id="181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12" w:name="_Toc16882"/>
      <w:bookmarkStart w:id="1813" w:name="_Toc22529"/>
      <w:bookmarkStart w:id="1814" w:name="_Toc29688"/>
      <w:r>
        <w:rPr>
          <w:rFonts w:hint="eastAsia" w:asciiTheme="minorEastAsia" w:hAnsiTheme="minorEastAsia" w:eastAsiaTheme="minorEastAsia" w:cstheme="minorEastAsia"/>
          <w:b w:val="0"/>
          <w:bCs w:val="0"/>
          <w:sz w:val="24"/>
          <w:lang w:val="en-US" w:eastAsia="zh-CN"/>
        </w:rPr>
        <w:t>6.负责对本部门的风险源进行辨识和风险评估，并制定相应的控制措施，将风险源纳入到日常安全检查中，积极落实整改措施。对风险源和易发事故的重点部位实施有效监测、监控，落实重点部位、重点岗位应急措施。</w:t>
      </w:r>
      <w:bookmarkEnd w:id="1812"/>
      <w:bookmarkEnd w:id="1813"/>
      <w:bookmarkEnd w:id="181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15" w:name="_Toc15580"/>
      <w:bookmarkStart w:id="1816" w:name="_Toc24545"/>
      <w:bookmarkStart w:id="1817" w:name="_Toc7810"/>
      <w:r>
        <w:rPr>
          <w:rFonts w:hint="eastAsia" w:asciiTheme="minorEastAsia" w:hAnsiTheme="minorEastAsia" w:eastAsiaTheme="minorEastAsia" w:cstheme="minorEastAsia"/>
          <w:b w:val="0"/>
          <w:bCs w:val="0"/>
          <w:sz w:val="24"/>
          <w:lang w:val="en-US" w:eastAsia="zh-CN"/>
        </w:rPr>
        <w:t>7.对本部门办公室消防等各种安全隐患进行日常排查，及时治理；保证项目办公区消防设施完好有效；</w:t>
      </w:r>
      <w:bookmarkEnd w:id="1815"/>
      <w:bookmarkEnd w:id="1816"/>
      <w:bookmarkEnd w:id="181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18" w:name="_Toc27062"/>
      <w:bookmarkStart w:id="1819" w:name="_Toc8952"/>
      <w:bookmarkStart w:id="1820" w:name="_Toc20942"/>
      <w:r>
        <w:rPr>
          <w:rFonts w:hint="eastAsia" w:asciiTheme="minorEastAsia" w:hAnsiTheme="minorEastAsia" w:eastAsiaTheme="minorEastAsia" w:cstheme="minorEastAsia"/>
          <w:b w:val="0"/>
          <w:bCs w:val="0"/>
          <w:sz w:val="24"/>
          <w:lang w:val="en-US" w:eastAsia="zh-CN"/>
        </w:rPr>
        <w:t>8.履行交通事故、公共卫生事件专项应急指挥办公室职责及应急救援工作中新闻宣传组的牵头部门职责，参与各种应急处置工作；参与事故调查，配合完成事故调查上报工作；</w:t>
      </w:r>
      <w:bookmarkEnd w:id="1818"/>
      <w:bookmarkEnd w:id="1819"/>
      <w:bookmarkEnd w:id="182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21" w:name="_Toc18958"/>
      <w:bookmarkStart w:id="1822" w:name="_Toc30919"/>
      <w:bookmarkStart w:id="1823" w:name="_Toc26205"/>
      <w:r>
        <w:rPr>
          <w:rFonts w:hint="eastAsia" w:asciiTheme="minorEastAsia" w:hAnsiTheme="minorEastAsia" w:eastAsiaTheme="minorEastAsia" w:cstheme="minorEastAsia"/>
          <w:b w:val="0"/>
          <w:bCs w:val="0"/>
          <w:sz w:val="24"/>
          <w:lang w:val="en-US" w:eastAsia="zh-CN"/>
        </w:rPr>
        <w:t>9.积极参项目部安全教育培训，做好安全生产宣传、安全文化建设工作。</w:t>
      </w:r>
      <w:bookmarkEnd w:id="1821"/>
      <w:bookmarkEnd w:id="1822"/>
      <w:bookmarkEnd w:id="18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824" w:name="_Toc117"/>
      <w:bookmarkStart w:id="1825" w:name="_Toc9038"/>
      <w:bookmarkStart w:id="1826" w:name="_Toc20967"/>
      <w:bookmarkStart w:id="1827" w:name="_Toc16248"/>
      <w:bookmarkStart w:id="1828" w:name="_Toc18670"/>
      <w:bookmarkStart w:id="1829" w:name="_Toc27322"/>
      <w:bookmarkStart w:id="1830" w:name="_Toc4300"/>
      <w:bookmarkStart w:id="1831" w:name="_Toc16688"/>
      <w:bookmarkStart w:id="1832" w:name="_Toc14563"/>
      <w:r>
        <w:rPr>
          <w:rFonts w:hint="eastAsia" w:asciiTheme="minorEastAsia" w:hAnsiTheme="minorEastAsia" w:eastAsiaTheme="minorEastAsia" w:cstheme="minorEastAsia"/>
          <w:b w:val="0"/>
          <w:bCs w:val="0"/>
          <w:sz w:val="24"/>
          <w:lang w:val="en-US" w:eastAsia="zh-CN"/>
        </w:rPr>
        <w:t>（十六）、项目部办公室员工安全生产职责</w:t>
      </w:r>
      <w:bookmarkEnd w:id="1824"/>
      <w:bookmarkEnd w:id="1825"/>
      <w:bookmarkEnd w:id="1826"/>
      <w:bookmarkEnd w:id="1827"/>
      <w:bookmarkEnd w:id="1828"/>
      <w:bookmarkEnd w:id="1829"/>
      <w:bookmarkEnd w:id="1830"/>
      <w:bookmarkEnd w:id="1831"/>
      <w:bookmarkEnd w:id="183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33" w:name="_Toc28451"/>
      <w:bookmarkStart w:id="1834" w:name="_Toc24645"/>
      <w:bookmarkStart w:id="1835" w:name="_Toc32252"/>
      <w:r>
        <w:rPr>
          <w:rFonts w:hint="eastAsia" w:asciiTheme="minorEastAsia" w:hAnsiTheme="minorEastAsia" w:eastAsiaTheme="minorEastAsia" w:cstheme="minorEastAsia"/>
          <w:b w:val="0"/>
          <w:bCs w:val="0"/>
          <w:sz w:val="24"/>
          <w:lang w:val="en-US" w:eastAsia="zh-CN"/>
        </w:rPr>
        <w:t>1.贯彻执行安全生产法律法规、标准规范、公司安全生产规章制度；</w:t>
      </w:r>
      <w:bookmarkEnd w:id="1833"/>
      <w:bookmarkEnd w:id="1834"/>
      <w:bookmarkEnd w:id="183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36" w:name="_Toc2526"/>
      <w:bookmarkStart w:id="1837" w:name="_Toc17234"/>
      <w:bookmarkStart w:id="1838" w:name="_Toc21046"/>
      <w:r>
        <w:rPr>
          <w:rFonts w:hint="eastAsia" w:asciiTheme="minorEastAsia" w:hAnsiTheme="minorEastAsia" w:eastAsiaTheme="minorEastAsia" w:cstheme="minorEastAsia"/>
          <w:b w:val="0"/>
          <w:bCs w:val="0"/>
          <w:sz w:val="24"/>
          <w:lang w:val="en-US" w:eastAsia="zh-CN"/>
        </w:rPr>
        <w:t>2.学习掌握本岗位安全生产知识和应急知识，接受安全生产教育和培训，参加应急救援演练，增强事故预防和应急处置能力；</w:t>
      </w:r>
      <w:bookmarkEnd w:id="1836"/>
      <w:bookmarkEnd w:id="1837"/>
      <w:bookmarkEnd w:id="183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39" w:name="_Toc10667"/>
      <w:bookmarkStart w:id="1840" w:name="_Toc21086"/>
      <w:bookmarkStart w:id="1841" w:name="_Toc12323"/>
      <w:r>
        <w:rPr>
          <w:rFonts w:hint="eastAsia" w:asciiTheme="minorEastAsia" w:hAnsiTheme="minorEastAsia" w:eastAsiaTheme="minorEastAsia" w:cstheme="minorEastAsia"/>
          <w:b w:val="0"/>
          <w:bCs w:val="0"/>
          <w:sz w:val="24"/>
          <w:lang w:val="en-US" w:eastAsia="zh-CN"/>
        </w:rPr>
        <w:t>3.履行本岗位涉及的安全生产职责并负直接责任；</w:t>
      </w:r>
      <w:bookmarkEnd w:id="1839"/>
      <w:bookmarkEnd w:id="1840"/>
      <w:bookmarkEnd w:id="184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42" w:name="_Toc2799"/>
      <w:bookmarkStart w:id="1843" w:name="_Toc13366"/>
      <w:bookmarkStart w:id="1844" w:name="_Toc11546"/>
      <w:r>
        <w:rPr>
          <w:rFonts w:hint="eastAsia" w:asciiTheme="minorEastAsia" w:hAnsiTheme="minorEastAsia" w:eastAsiaTheme="minorEastAsia" w:cstheme="minorEastAsia"/>
          <w:b w:val="0"/>
          <w:bCs w:val="0"/>
          <w:sz w:val="24"/>
          <w:lang w:val="en-US" w:eastAsia="zh-CN"/>
        </w:rPr>
        <w:t>4.及时办理上级有关安全的公文转发；</w:t>
      </w:r>
      <w:bookmarkEnd w:id="1842"/>
      <w:bookmarkEnd w:id="1843"/>
      <w:bookmarkEnd w:id="184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45" w:name="_Toc13095"/>
      <w:bookmarkStart w:id="1846" w:name="_Toc22046"/>
      <w:bookmarkStart w:id="1847" w:name="_Toc25368"/>
      <w:r>
        <w:rPr>
          <w:rFonts w:hint="eastAsia" w:asciiTheme="minorEastAsia" w:hAnsiTheme="minorEastAsia" w:eastAsiaTheme="minorEastAsia" w:cstheme="minorEastAsia"/>
          <w:b w:val="0"/>
          <w:bCs w:val="0"/>
          <w:sz w:val="24"/>
          <w:lang w:val="en-US" w:eastAsia="zh-CN"/>
        </w:rPr>
        <w:t>5.参与本岗位安全生产风险辨识，落实管控措施，对本岗位涉及的安全隐患进行排查、治理，发现事故隐患或者其他不安全因素时，立即向现场安全生产管理人员或者相关责人报告；</w:t>
      </w:r>
      <w:bookmarkEnd w:id="1845"/>
      <w:bookmarkEnd w:id="1846"/>
      <w:bookmarkEnd w:id="184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48" w:name="_Toc3492"/>
      <w:bookmarkStart w:id="1849" w:name="_Toc5393"/>
      <w:bookmarkStart w:id="1850" w:name="_Toc28053"/>
      <w:r>
        <w:rPr>
          <w:rFonts w:hint="eastAsia" w:asciiTheme="minorEastAsia" w:hAnsiTheme="minorEastAsia" w:eastAsiaTheme="minorEastAsia" w:cstheme="minorEastAsia"/>
          <w:b w:val="0"/>
          <w:bCs w:val="0"/>
          <w:sz w:val="24"/>
          <w:lang w:val="en-US" w:eastAsia="zh-CN"/>
        </w:rPr>
        <w:t>6.对本部门各种安全隐患进行定期排查，及时报告、治理；</w:t>
      </w:r>
      <w:bookmarkEnd w:id="1848"/>
      <w:bookmarkEnd w:id="1849"/>
      <w:bookmarkEnd w:id="185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51" w:name="_Toc29978"/>
      <w:bookmarkStart w:id="1852" w:name="_Toc13178"/>
      <w:bookmarkStart w:id="1853" w:name="_Toc7984"/>
      <w:r>
        <w:rPr>
          <w:rFonts w:hint="eastAsia" w:asciiTheme="minorEastAsia" w:hAnsiTheme="minorEastAsia" w:eastAsiaTheme="minorEastAsia" w:cstheme="minorEastAsia"/>
          <w:b w:val="0"/>
          <w:bCs w:val="0"/>
          <w:sz w:val="24"/>
          <w:lang w:val="en-US" w:eastAsia="zh-CN"/>
        </w:rPr>
        <w:t>7.对外来人员进行安全告知；</w:t>
      </w:r>
      <w:bookmarkEnd w:id="1851"/>
      <w:bookmarkEnd w:id="1852"/>
      <w:bookmarkEnd w:id="1853"/>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54" w:name="_Toc30769"/>
      <w:bookmarkStart w:id="1855" w:name="_Toc10929"/>
      <w:r>
        <w:rPr>
          <w:rFonts w:hint="eastAsia" w:asciiTheme="minorEastAsia" w:hAnsiTheme="minorEastAsia" w:eastAsiaTheme="minorEastAsia" w:cstheme="minorEastAsia"/>
          <w:b w:val="0"/>
          <w:bCs w:val="0"/>
          <w:sz w:val="24"/>
          <w:lang w:val="en-US" w:eastAsia="zh-CN"/>
        </w:rPr>
        <w:t>8.配合部门负责人做好专项应急指挥部办公室工作和应急救援工作新闻宣传工作；</w:t>
      </w:r>
      <w:bookmarkEnd w:id="1854"/>
      <w:bookmarkEnd w:id="185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856" w:name="_Toc30039"/>
      <w:bookmarkStart w:id="1857" w:name="_Toc16235"/>
      <w:bookmarkStart w:id="1858" w:name="_Toc4307"/>
      <w:bookmarkStart w:id="1859" w:name="_Toc16070"/>
      <w:bookmarkStart w:id="1860" w:name="_Toc12853"/>
      <w:bookmarkStart w:id="1861" w:name="_Toc16108"/>
      <w:bookmarkStart w:id="1862" w:name="_Toc13731"/>
      <w:r>
        <w:rPr>
          <w:rFonts w:hint="eastAsia" w:asciiTheme="minorEastAsia" w:hAnsiTheme="minorEastAsia" w:eastAsiaTheme="minorEastAsia" w:cstheme="minorEastAsia"/>
          <w:b w:val="0"/>
          <w:bCs w:val="0"/>
          <w:sz w:val="24"/>
          <w:lang w:val="en-US" w:eastAsia="zh-CN"/>
        </w:rPr>
        <w:t>9.参与安全生产宣传及安全文化建设工作。</w:t>
      </w:r>
      <w:bookmarkEnd w:id="1856"/>
      <w:bookmarkEnd w:id="1857"/>
      <w:bookmarkEnd w:id="1858"/>
      <w:bookmarkEnd w:id="1859"/>
      <w:bookmarkEnd w:id="1860"/>
      <w:bookmarkEnd w:id="1861"/>
      <w:bookmarkEnd w:id="186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863" w:name="_Toc8934"/>
      <w:bookmarkStart w:id="1864" w:name="_Toc11073"/>
      <w:bookmarkStart w:id="1865" w:name="_Toc22957"/>
      <w:bookmarkStart w:id="1866" w:name="_Toc32019"/>
      <w:bookmarkStart w:id="1867" w:name="_Toc4789"/>
      <w:bookmarkStart w:id="1868" w:name="_Toc24679"/>
      <w:bookmarkStart w:id="1869" w:name="_Toc29624"/>
      <w:bookmarkStart w:id="1870" w:name="_Toc4838"/>
      <w:bookmarkStart w:id="1871" w:name="_Toc16362"/>
      <w:r>
        <w:rPr>
          <w:rFonts w:hint="eastAsia" w:asciiTheme="minorEastAsia" w:hAnsiTheme="minorEastAsia" w:eastAsiaTheme="minorEastAsia" w:cstheme="minorEastAsia"/>
          <w:b w:val="0"/>
          <w:bCs w:val="0"/>
          <w:sz w:val="24"/>
          <w:lang w:val="en-US" w:eastAsia="zh-CN"/>
        </w:rPr>
        <w:t>（十七）、施工员、专业技术负责人(土建、水、电、机械)安全生产职责</w:t>
      </w:r>
      <w:bookmarkEnd w:id="1863"/>
      <w:bookmarkEnd w:id="1864"/>
      <w:bookmarkEnd w:id="1865"/>
      <w:bookmarkEnd w:id="1866"/>
      <w:bookmarkEnd w:id="1867"/>
      <w:bookmarkEnd w:id="1868"/>
      <w:bookmarkEnd w:id="1869"/>
      <w:bookmarkEnd w:id="1870"/>
      <w:bookmarkEnd w:id="187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72" w:name="_Toc10308"/>
      <w:bookmarkStart w:id="1873" w:name="_Toc17008"/>
      <w:bookmarkStart w:id="1874" w:name="_Toc20425"/>
      <w:r>
        <w:rPr>
          <w:rFonts w:hint="eastAsia" w:asciiTheme="minorEastAsia" w:hAnsiTheme="minorEastAsia" w:eastAsiaTheme="minorEastAsia" w:cstheme="minorEastAsia"/>
          <w:b w:val="0"/>
          <w:bCs w:val="0"/>
          <w:sz w:val="24"/>
          <w:lang w:val="en-US" w:eastAsia="zh-CN"/>
        </w:rPr>
        <w:t>1、认真落实各项技术、环保、安全管理规定，强化岗位和责任意识，对所管辖范围内的安全生产、文明施工负直接责任。</w:t>
      </w:r>
      <w:bookmarkEnd w:id="1872"/>
      <w:bookmarkEnd w:id="1873"/>
      <w:bookmarkEnd w:id="187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75" w:name="_Toc30477"/>
      <w:bookmarkStart w:id="1876" w:name="_Toc12770"/>
      <w:bookmarkStart w:id="1877" w:name="_Toc8312"/>
      <w:r>
        <w:rPr>
          <w:rFonts w:hint="eastAsia" w:asciiTheme="minorEastAsia" w:hAnsiTheme="minorEastAsia" w:eastAsiaTheme="minorEastAsia" w:cstheme="minorEastAsia"/>
          <w:b w:val="0"/>
          <w:bCs w:val="0"/>
          <w:sz w:val="24"/>
          <w:lang w:val="en-US" w:eastAsia="zh-CN"/>
        </w:rPr>
        <w:t>2、严格按设计图纸、施工组织设计和专项方案组织施工。向操作者做书面安全技术交底或样板交底，并监督班组实施情况。</w:t>
      </w:r>
      <w:bookmarkEnd w:id="1875"/>
      <w:bookmarkEnd w:id="1876"/>
      <w:bookmarkEnd w:id="187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78" w:name="_Toc7100"/>
      <w:bookmarkStart w:id="1879" w:name="_Toc13077"/>
      <w:bookmarkStart w:id="1880" w:name="_Toc25936"/>
      <w:r>
        <w:rPr>
          <w:rFonts w:hint="eastAsia" w:asciiTheme="minorEastAsia" w:hAnsiTheme="minorEastAsia" w:eastAsiaTheme="minorEastAsia" w:cstheme="minorEastAsia"/>
          <w:b w:val="0"/>
          <w:bCs w:val="0"/>
          <w:sz w:val="24"/>
          <w:lang w:val="en-US" w:eastAsia="zh-CN"/>
        </w:rPr>
        <w:t>3、组织对施工现场各分部分项的安全防护装置、设施进行验收，合格后方可投入使用。经常检查施工现场的安全设施，不违章指挥，制止违章作业，抓好安全生产和文明施工，做好施工过程中的环境保护工作。</w:t>
      </w:r>
      <w:bookmarkEnd w:id="1878"/>
      <w:bookmarkEnd w:id="1879"/>
      <w:bookmarkEnd w:id="188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81" w:name="_Toc4581"/>
      <w:bookmarkStart w:id="1882" w:name="_Toc28358"/>
      <w:bookmarkStart w:id="1883" w:name="_Toc13353"/>
      <w:r>
        <w:rPr>
          <w:rFonts w:hint="eastAsia" w:asciiTheme="minorEastAsia" w:hAnsiTheme="minorEastAsia" w:eastAsiaTheme="minorEastAsia" w:cstheme="minorEastAsia"/>
          <w:b w:val="0"/>
          <w:bCs w:val="0"/>
          <w:sz w:val="24"/>
          <w:lang w:val="en-US" w:eastAsia="zh-CN"/>
        </w:rPr>
        <w:t>4、树立“安全第一、预防为主”的思想，坚持经常性的安全教育工作，组织工人学习安全操作规程，教育工人不违章作业，督促班组开好班前教育会。</w:t>
      </w:r>
      <w:bookmarkEnd w:id="1881"/>
      <w:bookmarkEnd w:id="1882"/>
      <w:bookmarkEnd w:id="1883"/>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84" w:name="_Toc5540"/>
      <w:bookmarkStart w:id="1885" w:name="_Toc4856"/>
      <w:bookmarkStart w:id="1886" w:name="_Toc29061"/>
      <w:r>
        <w:rPr>
          <w:rFonts w:hint="eastAsia" w:asciiTheme="minorEastAsia" w:hAnsiTheme="minorEastAsia" w:eastAsiaTheme="minorEastAsia" w:cstheme="minorEastAsia"/>
          <w:b w:val="0"/>
          <w:bCs w:val="0"/>
          <w:sz w:val="24"/>
          <w:lang w:val="en-US" w:eastAsia="zh-CN"/>
        </w:rPr>
        <w:t>5、参与本岗位涉及作业的风险源进行辨识和风险评估，熟悉本岗位及管辖设备的风险及控制措施。</w:t>
      </w:r>
      <w:bookmarkEnd w:id="1884"/>
      <w:bookmarkEnd w:id="1885"/>
      <w:bookmarkEnd w:id="188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87" w:name="_Toc22141"/>
      <w:bookmarkStart w:id="1888" w:name="_Toc10496"/>
      <w:bookmarkStart w:id="1889" w:name="_Toc30299"/>
      <w:r>
        <w:rPr>
          <w:rFonts w:hint="eastAsia" w:asciiTheme="minorEastAsia" w:hAnsiTheme="minorEastAsia" w:eastAsiaTheme="minorEastAsia" w:cstheme="minorEastAsia"/>
          <w:b w:val="0"/>
          <w:bCs w:val="0"/>
          <w:sz w:val="24"/>
          <w:lang w:val="en-US" w:eastAsia="zh-CN"/>
        </w:rPr>
        <w:t>6、参加安全隐患的调查分析会，对提出的各项整改措施负责组织落实，消除事故隐患。及时填写施工日志及相关安全记录，保证其同步、完整、真实，具有可追溯性。</w:t>
      </w:r>
      <w:bookmarkEnd w:id="1887"/>
      <w:bookmarkEnd w:id="1888"/>
      <w:bookmarkEnd w:id="188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890" w:name="_Toc21013"/>
      <w:bookmarkStart w:id="1891" w:name="_Toc29805"/>
      <w:bookmarkStart w:id="1892" w:name="_Toc29674"/>
      <w:r>
        <w:rPr>
          <w:rFonts w:hint="eastAsia" w:asciiTheme="minorEastAsia" w:hAnsiTheme="minorEastAsia" w:eastAsiaTheme="minorEastAsia" w:cstheme="minorEastAsia"/>
          <w:b w:val="0"/>
          <w:bCs w:val="0"/>
          <w:sz w:val="24"/>
          <w:lang w:val="en-US" w:eastAsia="zh-CN"/>
        </w:rPr>
        <w:t>7、发生工伤事故立即上报，保护现场，抢救伤员及国家财产，参加事故事件的调查、分析。</w:t>
      </w:r>
      <w:bookmarkEnd w:id="1890"/>
      <w:bookmarkEnd w:id="1891"/>
      <w:bookmarkEnd w:id="189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893" w:name="_Toc20542"/>
      <w:bookmarkStart w:id="1894" w:name="_Toc4319"/>
      <w:bookmarkStart w:id="1895" w:name="_Toc28765"/>
      <w:bookmarkStart w:id="1896" w:name="_Toc19074"/>
      <w:bookmarkStart w:id="1897" w:name="_Toc26085"/>
      <w:bookmarkStart w:id="1898" w:name="_Toc5363"/>
      <w:bookmarkStart w:id="1899" w:name="_Toc15066"/>
      <w:bookmarkStart w:id="1900" w:name="_Toc27828"/>
      <w:bookmarkStart w:id="1901" w:name="_Toc12414"/>
      <w:r>
        <w:rPr>
          <w:rFonts w:hint="eastAsia" w:asciiTheme="minorEastAsia" w:hAnsiTheme="minorEastAsia" w:eastAsiaTheme="minorEastAsia" w:cstheme="minorEastAsia"/>
          <w:b w:val="0"/>
          <w:bCs w:val="0"/>
          <w:sz w:val="24"/>
          <w:lang w:val="en-US" w:eastAsia="zh-CN"/>
        </w:rPr>
        <w:t>（十八）、班组长安全生产职责</w:t>
      </w:r>
      <w:bookmarkEnd w:id="1893"/>
      <w:bookmarkEnd w:id="1894"/>
      <w:bookmarkEnd w:id="1895"/>
      <w:bookmarkEnd w:id="1896"/>
      <w:bookmarkEnd w:id="1897"/>
      <w:bookmarkEnd w:id="1898"/>
      <w:bookmarkEnd w:id="1899"/>
      <w:bookmarkEnd w:id="1900"/>
      <w:bookmarkEnd w:id="190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02" w:name="_Toc15320"/>
      <w:bookmarkStart w:id="1903" w:name="_Toc30392"/>
      <w:bookmarkStart w:id="1904" w:name="_Toc1175"/>
      <w:r>
        <w:rPr>
          <w:rFonts w:hint="eastAsia" w:asciiTheme="minorEastAsia" w:hAnsiTheme="minorEastAsia" w:eastAsiaTheme="minorEastAsia" w:cstheme="minorEastAsia"/>
          <w:b w:val="0"/>
          <w:bCs w:val="0"/>
          <w:sz w:val="24"/>
          <w:lang w:val="en-US" w:eastAsia="zh-CN"/>
        </w:rPr>
        <w:t>1.认真执行国家有关安全生产、环境保护的法律法规及公司的各项规章制度、安全操作规程。领导本班组安全作业，合理安排班组人员工作，对本班组生产的安全负责。</w:t>
      </w:r>
      <w:bookmarkEnd w:id="1902"/>
      <w:bookmarkEnd w:id="1903"/>
      <w:bookmarkEnd w:id="190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05" w:name="_Toc23844"/>
      <w:bookmarkStart w:id="1906" w:name="_Toc22990"/>
      <w:bookmarkStart w:id="1907" w:name="_Toc29786"/>
      <w:r>
        <w:rPr>
          <w:rFonts w:hint="eastAsia" w:asciiTheme="minorEastAsia" w:hAnsiTheme="minorEastAsia" w:eastAsiaTheme="minorEastAsia" w:cstheme="minorEastAsia"/>
          <w:b w:val="0"/>
          <w:bCs w:val="0"/>
          <w:sz w:val="24"/>
          <w:lang w:val="en-US" w:eastAsia="zh-CN"/>
        </w:rPr>
        <w:t>2.组织开好班前安全生产交底会，认真执行安全交底，不违章操作，不违章指挥，同时有权拒绝违章指挥。</w:t>
      </w:r>
      <w:bookmarkEnd w:id="1905"/>
      <w:bookmarkEnd w:id="1906"/>
      <w:bookmarkEnd w:id="190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08" w:name="_Toc23385"/>
      <w:bookmarkStart w:id="1909" w:name="_Toc26229"/>
      <w:bookmarkStart w:id="1910" w:name="_Toc27765"/>
      <w:r>
        <w:rPr>
          <w:rFonts w:hint="eastAsia" w:asciiTheme="minorEastAsia" w:hAnsiTheme="minorEastAsia" w:eastAsiaTheme="minorEastAsia" w:cstheme="minorEastAsia"/>
          <w:b w:val="0"/>
          <w:bCs w:val="0"/>
          <w:sz w:val="24"/>
          <w:lang w:val="en-US" w:eastAsia="zh-CN"/>
        </w:rPr>
        <w:t>3.经常组织本班组工人学习安全操作规程和规章制度，做好本小组新工人的入场教育，教育工人在任何情况下不得违章作业。教育本组成员遵纪守法，督促教育本组成员正确合理使 用劳动保护用品、用具，正确使用灭火器材。配合施工员(专业技术负责人)搞好安全生产和文明施工。</w:t>
      </w:r>
      <w:bookmarkEnd w:id="1908"/>
      <w:bookmarkEnd w:id="1909"/>
      <w:bookmarkEnd w:id="191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11" w:name="_Toc3482"/>
      <w:bookmarkStart w:id="1912" w:name="_Toc6023"/>
      <w:r>
        <w:rPr>
          <w:rFonts w:hint="eastAsia" w:asciiTheme="minorEastAsia" w:hAnsiTheme="minorEastAsia" w:eastAsiaTheme="minorEastAsia" w:cstheme="minorEastAsia"/>
          <w:b w:val="0"/>
          <w:bCs w:val="0"/>
          <w:sz w:val="24"/>
          <w:lang w:val="en-US" w:eastAsia="zh-CN"/>
        </w:rPr>
        <w:t>4.班前要对所使用的机具、设备、防护用品及作业环境进行安全检查，发现的问题解决后，才能使用和作业。</w:t>
      </w:r>
      <w:bookmarkEnd w:id="1911"/>
      <w:bookmarkEnd w:id="191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13" w:name="_Toc13994"/>
      <w:bookmarkStart w:id="1914" w:name="_Toc19109"/>
      <w:bookmarkStart w:id="1915" w:name="_Toc19314"/>
      <w:r>
        <w:rPr>
          <w:rFonts w:hint="eastAsia" w:asciiTheme="minorEastAsia" w:hAnsiTheme="minorEastAsia" w:eastAsiaTheme="minorEastAsia" w:cstheme="minorEastAsia"/>
          <w:b w:val="0"/>
          <w:bCs w:val="0"/>
          <w:sz w:val="24"/>
          <w:lang w:val="en-US" w:eastAsia="zh-CN"/>
        </w:rPr>
        <w:t>5.在生产过程中，要经常注意检查施工现场存在的不安全因素，发现隐患及时解决，不能解决的要立即报请上级采取措施，保证安全方可继续作业。</w:t>
      </w:r>
      <w:bookmarkEnd w:id="1913"/>
      <w:bookmarkEnd w:id="1914"/>
      <w:bookmarkEnd w:id="191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16" w:name="_Toc25762"/>
      <w:bookmarkStart w:id="1917" w:name="_Toc26800"/>
      <w:bookmarkStart w:id="1918" w:name="_Toc13760"/>
      <w:r>
        <w:rPr>
          <w:rFonts w:hint="eastAsia" w:asciiTheme="minorEastAsia" w:hAnsiTheme="minorEastAsia" w:eastAsiaTheme="minorEastAsia" w:cstheme="minorEastAsia"/>
          <w:b w:val="0"/>
          <w:bCs w:val="0"/>
          <w:sz w:val="24"/>
          <w:lang w:val="en-US" w:eastAsia="zh-CN"/>
        </w:rPr>
        <w:t>6.发生工伤事故，要立即报告，抢救伤员和财产，并保护现场，做好记录，组织本组人员分析事故原因，从中吸取教训，改进工作。</w:t>
      </w:r>
      <w:bookmarkEnd w:id="1916"/>
      <w:bookmarkEnd w:id="1917"/>
      <w:bookmarkEnd w:id="191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19" w:name="_Toc4694"/>
      <w:bookmarkStart w:id="1920" w:name="_Toc17645"/>
      <w:bookmarkStart w:id="1921" w:name="_Toc19371"/>
      <w:r>
        <w:rPr>
          <w:rFonts w:hint="eastAsia" w:asciiTheme="minorEastAsia" w:hAnsiTheme="minorEastAsia" w:eastAsiaTheme="minorEastAsia" w:cstheme="minorEastAsia"/>
          <w:b w:val="0"/>
          <w:bCs w:val="0"/>
          <w:sz w:val="24"/>
          <w:lang w:val="en-US" w:eastAsia="zh-CN"/>
        </w:rPr>
        <w:t>7.认真做好本班组新进场人员的岗前教育和经常性安全教育工作。</w:t>
      </w:r>
      <w:bookmarkEnd w:id="1919"/>
      <w:bookmarkEnd w:id="1920"/>
      <w:bookmarkEnd w:id="192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22" w:name="_Toc11129"/>
      <w:bookmarkStart w:id="1923" w:name="_Toc16576"/>
      <w:bookmarkStart w:id="1924" w:name="_Toc24835"/>
      <w:r>
        <w:rPr>
          <w:rFonts w:hint="eastAsia" w:asciiTheme="minorEastAsia" w:hAnsiTheme="minorEastAsia" w:eastAsiaTheme="minorEastAsia" w:cstheme="minorEastAsia"/>
          <w:b w:val="0"/>
          <w:bCs w:val="0"/>
          <w:sz w:val="24"/>
          <w:lang w:val="en-US" w:eastAsia="zh-CN"/>
        </w:rPr>
        <w:t>8.组织开展本班组的风险辨识分级管控工作。每天进行一次隐患排查，消除事故隐患。</w:t>
      </w:r>
      <w:bookmarkEnd w:id="1922"/>
      <w:bookmarkEnd w:id="1923"/>
      <w:bookmarkEnd w:id="192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925" w:name="_Toc14675"/>
      <w:bookmarkStart w:id="1926" w:name="_Toc23487"/>
      <w:bookmarkStart w:id="1927" w:name="_Toc25316"/>
      <w:bookmarkStart w:id="1928" w:name="_Toc18279"/>
      <w:bookmarkStart w:id="1929" w:name="_Toc24226"/>
      <w:bookmarkStart w:id="1930" w:name="_Toc20348"/>
      <w:bookmarkStart w:id="1931" w:name="_Toc8040"/>
      <w:bookmarkStart w:id="1932" w:name="_Toc29469"/>
      <w:bookmarkStart w:id="1933" w:name="_Toc22858"/>
      <w:r>
        <w:rPr>
          <w:rFonts w:hint="eastAsia" w:asciiTheme="minorEastAsia" w:hAnsiTheme="minorEastAsia" w:eastAsiaTheme="minorEastAsia" w:cstheme="minorEastAsia"/>
          <w:b w:val="0"/>
          <w:bCs w:val="0"/>
          <w:sz w:val="24"/>
          <w:lang w:val="en-US" w:eastAsia="zh-CN"/>
        </w:rPr>
        <w:t>（十九）、项目部其他员工安全生产职责</w:t>
      </w:r>
      <w:bookmarkEnd w:id="1925"/>
      <w:bookmarkEnd w:id="1926"/>
      <w:bookmarkEnd w:id="1927"/>
      <w:bookmarkEnd w:id="1928"/>
      <w:bookmarkEnd w:id="1929"/>
      <w:bookmarkEnd w:id="1930"/>
      <w:bookmarkEnd w:id="1931"/>
      <w:bookmarkEnd w:id="1932"/>
      <w:bookmarkEnd w:id="193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34" w:name="_Toc16435"/>
      <w:bookmarkStart w:id="1935" w:name="_Toc502"/>
      <w:bookmarkStart w:id="1936" w:name="_Toc5234"/>
      <w:r>
        <w:rPr>
          <w:rFonts w:hint="eastAsia" w:asciiTheme="minorEastAsia" w:hAnsiTheme="minorEastAsia" w:eastAsiaTheme="minorEastAsia" w:cstheme="minorEastAsia"/>
          <w:b w:val="0"/>
          <w:bCs w:val="0"/>
          <w:sz w:val="24"/>
          <w:lang w:val="en-US" w:eastAsia="zh-CN"/>
        </w:rPr>
        <w:t>1.贯彻执行安全生产法律法规、标准规范、公司安全生产规章制度；</w:t>
      </w:r>
      <w:bookmarkEnd w:id="1934"/>
      <w:bookmarkEnd w:id="1935"/>
      <w:bookmarkEnd w:id="193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37" w:name="_Toc27834"/>
      <w:bookmarkStart w:id="1938" w:name="_Toc4670"/>
      <w:bookmarkStart w:id="1939" w:name="_Toc11087"/>
      <w:r>
        <w:rPr>
          <w:rFonts w:hint="eastAsia" w:asciiTheme="minorEastAsia" w:hAnsiTheme="minorEastAsia" w:eastAsiaTheme="minorEastAsia" w:cstheme="minorEastAsia"/>
          <w:b w:val="0"/>
          <w:bCs w:val="0"/>
          <w:sz w:val="24"/>
          <w:lang w:val="en-US" w:eastAsia="zh-CN"/>
        </w:rPr>
        <w:t>2.学习掌握本岗位安全生产知识、安全技术操作规程和应急知识，接受安全生产教育和培训，参加应急救援演练，增强事故预防和应急处置能力；积极参加安全生产会议，落实会议要求；</w:t>
      </w:r>
      <w:bookmarkEnd w:id="1937"/>
      <w:bookmarkEnd w:id="1938"/>
      <w:bookmarkEnd w:id="193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940" w:name="_Toc6814"/>
      <w:bookmarkStart w:id="1941" w:name="_Toc3680"/>
      <w:bookmarkStart w:id="1942" w:name="_Toc4677"/>
      <w:bookmarkStart w:id="1943" w:name="_Toc1841"/>
      <w:bookmarkStart w:id="1944" w:name="_Toc32135"/>
      <w:bookmarkStart w:id="1945" w:name="_Toc26213"/>
      <w:bookmarkStart w:id="1946" w:name="_Toc6616"/>
      <w:r>
        <w:rPr>
          <w:rFonts w:hint="eastAsia" w:asciiTheme="minorEastAsia" w:hAnsiTheme="minorEastAsia" w:eastAsiaTheme="minorEastAsia" w:cstheme="minorEastAsia"/>
          <w:b w:val="0"/>
          <w:bCs w:val="0"/>
          <w:sz w:val="24"/>
          <w:lang w:val="en-US" w:eastAsia="zh-CN"/>
        </w:rPr>
        <w:t>3.履行本岗位涉及的安全生产职责并负直接责任；</w:t>
      </w:r>
      <w:bookmarkEnd w:id="1940"/>
      <w:bookmarkEnd w:id="1941"/>
      <w:bookmarkEnd w:id="1942"/>
      <w:bookmarkEnd w:id="1943"/>
      <w:bookmarkEnd w:id="1944"/>
      <w:bookmarkEnd w:id="1945"/>
      <w:bookmarkEnd w:id="194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47" w:name="_Toc27997"/>
      <w:bookmarkStart w:id="1948" w:name="_Toc13899"/>
      <w:bookmarkStart w:id="1949" w:name="_Toc4937"/>
      <w:r>
        <w:rPr>
          <w:rFonts w:hint="eastAsia" w:asciiTheme="minorEastAsia" w:hAnsiTheme="minorEastAsia" w:eastAsiaTheme="minorEastAsia" w:cstheme="minorEastAsia"/>
          <w:b w:val="0"/>
          <w:bCs w:val="0"/>
          <w:sz w:val="24"/>
          <w:lang w:val="en-US" w:eastAsia="zh-CN"/>
        </w:rPr>
        <w:t>4.落实风险管理和隐患排查治理、安全生产标准化；参与安全生产检查、巡查，制止和纠正违章指挥、强令冒险作业、违反操作规程等行为；</w:t>
      </w:r>
      <w:bookmarkEnd w:id="1947"/>
      <w:bookmarkEnd w:id="1948"/>
      <w:bookmarkEnd w:id="194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50" w:name="_Toc28453"/>
      <w:bookmarkStart w:id="1951" w:name="_Toc15937"/>
      <w:bookmarkStart w:id="1952" w:name="_Toc13371"/>
      <w:r>
        <w:rPr>
          <w:rFonts w:hint="eastAsia" w:asciiTheme="minorEastAsia" w:hAnsiTheme="minorEastAsia" w:eastAsiaTheme="minorEastAsia" w:cstheme="minorEastAsia"/>
          <w:b w:val="0"/>
          <w:bCs w:val="0"/>
          <w:sz w:val="24"/>
          <w:lang w:val="en-US" w:eastAsia="zh-CN"/>
        </w:rPr>
        <w:t>5.对本岗位涉及的安全隐患进行排查，及时治理、报告；发现直接危及人身安全的紧急情况时，有权停止作业或者在采 取可能的应急措施后撤离作业场所；</w:t>
      </w:r>
      <w:bookmarkEnd w:id="1950"/>
      <w:bookmarkEnd w:id="1951"/>
      <w:bookmarkEnd w:id="195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53" w:name="_Toc23077"/>
      <w:bookmarkStart w:id="1954" w:name="_Toc1746"/>
      <w:bookmarkStart w:id="1955" w:name="_Toc24219"/>
      <w:r>
        <w:rPr>
          <w:rFonts w:hint="eastAsia" w:asciiTheme="minorEastAsia" w:hAnsiTheme="minorEastAsia" w:eastAsiaTheme="minorEastAsia" w:cstheme="minorEastAsia"/>
          <w:b w:val="0"/>
          <w:bCs w:val="0"/>
          <w:sz w:val="24"/>
          <w:lang w:val="en-US" w:eastAsia="zh-CN"/>
        </w:rPr>
        <w:t>6.发生生产安全事故时，立即报告，并采取应急措施，抢救受伤人员，保护现场；</w:t>
      </w:r>
      <w:bookmarkEnd w:id="1953"/>
      <w:bookmarkEnd w:id="1954"/>
      <w:bookmarkEnd w:id="195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956" w:name="_Toc30221"/>
      <w:bookmarkStart w:id="1957" w:name="_Toc12297"/>
      <w:bookmarkStart w:id="1958" w:name="_Toc14650"/>
      <w:bookmarkStart w:id="1959" w:name="_Toc1491"/>
      <w:bookmarkStart w:id="1960" w:name="_Toc867"/>
      <w:bookmarkStart w:id="1961" w:name="_Toc13383"/>
      <w:bookmarkStart w:id="1962" w:name="_Toc1302"/>
      <w:r>
        <w:rPr>
          <w:rFonts w:hint="eastAsia" w:asciiTheme="minorEastAsia" w:hAnsiTheme="minorEastAsia" w:eastAsiaTheme="minorEastAsia" w:cstheme="minorEastAsia"/>
          <w:b w:val="0"/>
          <w:bCs w:val="0"/>
          <w:sz w:val="24"/>
          <w:lang w:val="en-US" w:eastAsia="zh-CN"/>
        </w:rPr>
        <w:t>7.督导本岗位所涉及的相关方加强安全管理；</w:t>
      </w:r>
      <w:bookmarkEnd w:id="1956"/>
      <w:bookmarkEnd w:id="1957"/>
      <w:bookmarkEnd w:id="1958"/>
      <w:bookmarkEnd w:id="1959"/>
      <w:bookmarkEnd w:id="1960"/>
      <w:bookmarkEnd w:id="1961"/>
      <w:bookmarkEnd w:id="196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63" w:name="_Toc29153"/>
      <w:bookmarkStart w:id="1964" w:name="_Toc20171"/>
      <w:bookmarkStart w:id="1965" w:name="_Toc22534"/>
      <w:r>
        <w:rPr>
          <w:rFonts w:hint="eastAsia" w:asciiTheme="minorEastAsia" w:hAnsiTheme="minorEastAsia" w:eastAsiaTheme="minorEastAsia" w:cstheme="minorEastAsia"/>
          <w:b w:val="0"/>
          <w:bCs w:val="0"/>
          <w:sz w:val="24"/>
          <w:lang w:val="en-US" w:eastAsia="zh-CN"/>
        </w:rPr>
        <w:t>8.按规定佩戴个人防护用品，监督其他人员正确佩戴个人防护用品；</w:t>
      </w:r>
      <w:bookmarkEnd w:id="1963"/>
      <w:bookmarkEnd w:id="1964"/>
      <w:bookmarkEnd w:id="196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966" w:name="_Toc4847"/>
      <w:bookmarkStart w:id="1967" w:name="_Toc21833"/>
      <w:bookmarkStart w:id="1968" w:name="_Toc2708"/>
      <w:bookmarkStart w:id="1969" w:name="_Toc16840"/>
      <w:bookmarkStart w:id="1970" w:name="_Toc21118"/>
      <w:bookmarkStart w:id="1971" w:name="_Toc13749"/>
      <w:bookmarkStart w:id="1972" w:name="_Toc482"/>
      <w:r>
        <w:rPr>
          <w:rFonts w:hint="eastAsia" w:asciiTheme="minorEastAsia" w:hAnsiTheme="minorEastAsia" w:eastAsiaTheme="minorEastAsia" w:cstheme="minorEastAsia"/>
          <w:b w:val="0"/>
          <w:bCs w:val="0"/>
          <w:sz w:val="24"/>
          <w:lang w:val="en-US" w:eastAsia="zh-CN"/>
        </w:rPr>
        <w:t>9.项目部规定的其他安全生产职责。</w:t>
      </w:r>
      <w:bookmarkEnd w:id="1966"/>
      <w:bookmarkEnd w:id="1967"/>
      <w:bookmarkEnd w:id="1968"/>
      <w:bookmarkEnd w:id="1969"/>
      <w:bookmarkEnd w:id="1970"/>
      <w:bookmarkEnd w:id="1971"/>
      <w:bookmarkEnd w:id="197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1973" w:name="_Toc11311"/>
      <w:bookmarkStart w:id="1974" w:name="_Toc4014"/>
      <w:bookmarkStart w:id="1975" w:name="_Toc17904"/>
      <w:bookmarkStart w:id="1976" w:name="_Toc13637"/>
      <w:bookmarkStart w:id="1977" w:name="_Toc31965"/>
      <w:bookmarkStart w:id="1978" w:name="_Toc2276"/>
      <w:bookmarkStart w:id="1979" w:name="_Toc9756"/>
      <w:bookmarkStart w:id="1980" w:name="_Toc16440"/>
      <w:bookmarkStart w:id="1981" w:name="_Toc26291"/>
      <w:r>
        <w:rPr>
          <w:rFonts w:hint="eastAsia" w:asciiTheme="minorEastAsia" w:hAnsiTheme="minorEastAsia" w:eastAsiaTheme="minorEastAsia" w:cstheme="minorEastAsia"/>
          <w:b w:val="0"/>
          <w:bCs w:val="0"/>
          <w:sz w:val="24"/>
          <w:lang w:val="en-US" w:eastAsia="zh-CN"/>
        </w:rPr>
        <w:t>（二十）、协力单位人员安全生产责任职责</w:t>
      </w:r>
      <w:bookmarkEnd w:id="1973"/>
      <w:bookmarkEnd w:id="1974"/>
      <w:bookmarkEnd w:id="1975"/>
      <w:bookmarkEnd w:id="1976"/>
      <w:bookmarkEnd w:id="1977"/>
      <w:bookmarkEnd w:id="1978"/>
      <w:bookmarkEnd w:id="1979"/>
      <w:bookmarkEnd w:id="1980"/>
      <w:bookmarkEnd w:id="198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82" w:name="_Toc24725"/>
      <w:bookmarkStart w:id="1983" w:name="_Toc8883"/>
      <w:bookmarkStart w:id="1984" w:name="_Toc27355"/>
      <w:r>
        <w:rPr>
          <w:rFonts w:hint="eastAsia" w:asciiTheme="minorEastAsia" w:hAnsiTheme="minorEastAsia" w:eastAsiaTheme="minorEastAsia" w:cstheme="minorEastAsia"/>
          <w:b w:val="0"/>
          <w:bCs w:val="0"/>
          <w:sz w:val="24"/>
          <w:lang w:val="en-US" w:eastAsia="zh-CN"/>
        </w:rPr>
        <w:t>1.自觉遵守有关安全生产法规，规章，规程和劳动纪律，及时向现场管理人员反映施工现场不安全因素。</w:t>
      </w:r>
      <w:bookmarkEnd w:id="1982"/>
      <w:bookmarkEnd w:id="1983"/>
      <w:bookmarkEnd w:id="198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85" w:name="_Toc13469"/>
      <w:bookmarkStart w:id="1986" w:name="_Toc17709"/>
      <w:bookmarkStart w:id="1987" w:name="_Toc4557"/>
      <w:r>
        <w:rPr>
          <w:rFonts w:hint="eastAsia" w:asciiTheme="minorEastAsia" w:hAnsiTheme="minorEastAsia" w:eastAsiaTheme="minorEastAsia" w:cstheme="minorEastAsia"/>
          <w:b w:val="0"/>
          <w:bCs w:val="0"/>
          <w:sz w:val="24"/>
          <w:lang w:val="en-US" w:eastAsia="zh-CN"/>
        </w:rPr>
        <w:t>2.主动接受安全生产教育和培训；特种作业人员必须接受专业的培训，经考试合格取得操作资格证书，方可上岗作业。</w:t>
      </w:r>
      <w:bookmarkEnd w:id="1985"/>
      <w:bookmarkEnd w:id="1986"/>
      <w:bookmarkEnd w:id="198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88" w:name="_Toc27067"/>
      <w:bookmarkStart w:id="1989" w:name="_Toc16836"/>
      <w:bookmarkStart w:id="1990" w:name="_Toc29758"/>
      <w:r>
        <w:rPr>
          <w:rFonts w:hint="eastAsia" w:asciiTheme="minorEastAsia" w:hAnsiTheme="minorEastAsia" w:eastAsiaTheme="minorEastAsia" w:cstheme="minorEastAsia"/>
          <w:b w:val="0"/>
          <w:bCs w:val="0"/>
          <w:sz w:val="24"/>
          <w:lang w:val="en-US" w:eastAsia="zh-CN"/>
        </w:rPr>
        <w:t>3.严格按安全操作规程和安全技术交底进行操作，杜绝违章作业，不伤害自己，不伤害他人，有权拒绝违章指挥行为。</w:t>
      </w:r>
      <w:bookmarkEnd w:id="1988"/>
      <w:bookmarkEnd w:id="1989"/>
      <w:bookmarkEnd w:id="199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991" w:name="_Toc1698"/>
      <w:bookmarkStart w:id="1992" w:name="_Toc17588"/>
      <w:bookmarkStart w:id="1993" w:name="_Toc13121"/>
      <w:r>
        <w:rPr>
          <w:rFonts w:hint="eastAsia" w:asciiTheme="minorEastAsia" w:hAnsiTheme="minorEastAsia" w:eastAsiaTheme="minorEastAsia" w:cstheme="minorEastAsia"/>
          <w:b w:val="0"/>
          <w:bCs w:val="0"/>
          <w:sz w:val="24"/>
          <w:lang w:val="en-US" w:eastAsia="zh-CN"/>
        </w:rPr>
        <w:t>4.不断提高自身安全防范意识，正确使用和佩戴安全防护用具，用品。</w:t>
      </w:r>
      <w:bookmarkEnd w:id="1991"/>
      <w:bookmarkEnd w:id="1992"/>
      <w:bookmarkEnd w:id="199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1994" w:name="_Toc1918"/>
      <w:bookmarkStart w:id="1995" w:name="_Toc16298"/>
      <w:bookmarkStart w:id="1996" w:name="_Toc23781"/>
      <w:bookmarkStart w:id="1997" w:name="_Toc25313"/>
      <w:bookmarkStart w:id="1998" w:name="_Toc9903"/>
      <w:bookmarkStart w:id="1999" w:name="_Toc28509"/>
      <w:bookmarkStart w:id="2000" w:name="_Toc26258"/>
      <w:r>
        <w:rPr>
          <w:rFonts w:hint="eastAsia" w:asciiTheme="minorEastAsia" w:hAnsiTheme="minorEastAsia" w:eastAsiaTheme="minorEastAsia" w:cstheme="minorEastAsia"/>
          <w:b w:val="0"/>
          <w:bCs w:val="0"/>
          <w:sz w:val="24"/>
          <w:lang w:val="en-US" w:eastAsia="zh-CN"/>
        </w:rPr>
        <w:t>5.发现事故隐患或事故要立即报告，并积极参加抢险。</w:t>
      </w:r>
      <w:bookmarkEnd w:id="1994"/>
      <w:bookmarkEnd w:id="1995"/>
      <w:bookmarkEnd w:id="1996"/>
      <w:bookmarkEnd w:id="1997"/>
      <w:bookmarkEnd w:id="1998"/>
      <w:bookmarkEnd w:id="1999"/>
      <w:bookmarkEnd w:id="2000"/>
    </w:p>
    <w:p>
      <w:pPr>
        <w:pStyle w:val="9"/>
        <w:bidi w:val="0"/>
        <w:ind w:firstLine="482" w:firstLineChars="200"/>
        <w:rPr>
          <w:rFonts w:hint="eastAsia"/>
          <w:lang w:val="en-US" w:eastAsia="zh-CN"/>
        </w:rPr>
      </w:pPr>
      <w:bookmarkStart w:id="2001" w:name="_Toc24637"/>
      <w:bookmarkStart w:id="2002" w:name="_Toc26607"/>
      <w:bookmarkStart w:id="2003" w:name="_Toc4658"/>
      <w:bookmarkStart w:id="2004" w:name="_Toc16915"/>
      <w:r>
        <w:rPr>
          <w:rFonts w:hint="eastAsia" w:ascii="宋体" w:hAnsi="宋体" w:eastAsia="宋体" w:cs="宋体"/>
          <w:sz w:val="24"/>
          <w:szCs w:val="24"/>
          <w:lang w:val="en-US" w:eastAsia="zh-CN"/>
        </w:rPr>
        <w:t>6.3.7施工前准备阶段安全保证措施</w:t>
      </w:r>
      <w:bookmarkEnd w:id="2001"/>
      <w:bookmarkEnd w:id="2002"/>
      <w:bookmarkEnd w:id="2003"/>
      <w:bookmarkEnd w:id="200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2005" w:name="_Toc1140"/>
      <w:bookmarkStart w:id="2006" w:name="_Toc11063"/>
      <w:bookmarkStart w:id="2007" w:name="_Toc28021"/>
      <w:bookmarkStart w:id="2008" w:name="_Toc5995"/>
      <w:r>
        <w:rPr>
          <w:rFonts w:hint="eastAsia" w:asciiTheme="minorEastAsia" w:hAnsiTheme="minorEastAsia" w:eastAsiaTheme="minorEastAsia" w:cstheme="minorEastAsia"/>
          <w:b w:val="0"/>
          <w:bCs w:val="0"/>
          <w:sz w:val="24"/>
          <w:lang w:val="en-US" w:eastAsia="zh-CN"/>
        </w:rPr>
        <w:t>（1）与各分包队伍签订安全协议，明确安全职责。</w:t>
      </w:r>
      <w:bookmarkEnd w:id="2005"/>
      <w:bookmarkEnd w:id="2006"/>
      <w:bookmarkEnd w:id="2007"/>
      <w:bookmarkEnd w:id="200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（2）对施工作业人员进行安全知识培训和安全技术交底，并保存相关记录。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（3）制定安全岗位职责、安全管理制度和安全作业指导书，办理安全施工的各项手续。</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（4）对施工设备设施进行安全检查，确保设备性能良好，严禁施工设备、车辆带病上路。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（5）对特殊工种人员，检验是否经过国家规定的有关专业培训，获得合格证书后方能上岗作业。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2009" w:name="_Toc27739"/>
      <w:bookmarkStart w:id="2010" w:name="_Toc22981"/>
      <w:bookmarkStart w:id="2011" w:name="_Toc858"/>
      <w:bookmarkStart w:id="2012" w:name="_Toc20334"/>
      <w:r>
        <w:rPr>
          <w:rFonts w:hint="eastAsia" w:asciiTheme="minorEastAsia" w:hAnsiTheme="minorEastAsia" w:eastAsiaTheme="minorEastAsia" w:cstheme="minorEastAsia"/>
          <w:b w:val="0"/>
          <w:bCs w:val="0"/>
          <w:sz w:val="24"/>
          <w:lang w:val="en-US" w:eastAsia="zh-CN"/>
        </w:rPr>
        <w:t>（6）检验机械操作人员资格（资质）证书，确保人证合一。</w:t>
      </w:r>
      <w:bookmarkEnd w:id="2009"/>
      <w:bookmarkEnd w:id="2010"/>
      <w:bookmarkEnd w:id="2011"/>
      <w:bookmarkEnd w:id="201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（7）按照交警、路政审批手续，配备充足的安全物资（物资清单附后）。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（8）开工前根据项目部的施工内容，进行风险辨识，建立风险管控清单，明确管控责任单位、责任人。编制风险告知卡下发到各班组，使全体施工人员了解掌握本岗位的风险隐患和应对措施。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（9）编制各种应急预案及现场处置方案。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（10）各班组明确兼职安全员。</w:t>
      </w:r>
    </w:p>
    <w:p>
      <w:pPr>
        <w:pStyle w:val="9"/>
        <w:bidi w:val="0"/>
        <w:ind w:firstLine="482" w:firstLineChars="200"/>
        <w:rPr>
          <w:rFonts w:hint="eastAsia" w:ascii="宋体" w:hAnsi="宋体" w:eastAsia="宋体" w:cs="宋体"/>
          <w:sz w:val="24"/>
          <w:szCs w:val="24"/>
          <w:lang w:val="en-US" w:eastAsia="zh-CN"/>
        </w:rPr>
      </w:pPr>
      <w:bookmarkStart w:id="2013" w:name="_Toc12628"/>
      <w:bookmarkStart w:id="2014" w:name="_Toc4648"/>
      <w:bookmarkStart w:id="2015" w:name="_Toc27445"/>
      <w:bookmarkStart w:id="2016" w:name="_Toc27000"/>
      <w:r>
        <w:rPr>
          <w:rFonts w:hint="eastAsia" w:ascii="宋体" w:hAnsi="宋体" w:eastAsia="宋体" w:cs="宋体"/>
          <w:sz w:val="24"/>
          <w:szCs w:val="24"/>
          <w:lang w:val="en-US" w:eastAsia="zh-CN"/>
        </w:rPr>
        <w:t>6.3.8施工现场安全保证措施</w:t>
      </w:r>
      <w:bookmarkEnd w:id="2013"/>
      <w:bookmarkEnd w:id="2014"/>
      <w:bookmarkEnd w:id="2015"/>
      <w:bookmarkEnd w:id="201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default" w:asciiTheme="minorEastAsia" w:hAnsiTheme="minorEastAsia" w:eastAsiaTheme="minorEastAsia" w:cstheme="minorEastAsia"/>
          <w:b w:val="0"/>
          <w:bCs w:val="0"/>
          <w:sz w:val="24"/>
          <w:lang w:val="en-US" w:eastAsia="zh-CN"/>
        </w:rPr>
      </w:pPr>
      <w:bookmarkStart w:id="2017" w:name="_Toc28901"/>
      <w:bookmarkStart w:id="2018" w:name="_Toc24159"/>
      <w:bookmarkStart w:id="2019" w:name="_Toc18587"/>
      <w:bookmarkStart w:id="2020" w:name="_Toc1670"/>
      <w:r>
        <w:rPr>
          <w:rFonts w:hint="eastAsia" w:asciiTheme="minorEastAsia" w:hAnsiTheme="minorEastAsia" w:eastAsiaTheme="minorEastAsia" w:cstheme="minorEastAsia"/>
          <w:b w:val="0"/>
          <w:bCs w:val="0"/>
          <w:sz w:val="24"/>
          <w:lang w:val="en-US" w:eastAsia="zh-CN"/>
        </w:rPr>
        <w:t>1、现场作业安全要求</w:t>
      </w:r>
      <w:bookmarkEnd w:id="2017"/>
      <w:bookmarkEnd w:id="2018"/>
      <w:bookmarkEnd w:id="2019"/>
      <w:bookmarkEnd w:id="202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（1）所有作业人员必须穿戴反光背心和安全帽。高处作业人员必须佩戴安全带。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（2）每天施工前各班组进行班前教育，受教育人数要达到100％；当天施工结束后进行小结，同时留存影像资料和文字资料。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（3）施工现场要严格按照交警、路政审批手续规定摆设安全标志，现场保畅人员随时进行维护。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（4）施工作业区域采取隔离措施，防止飞溅、洒落物件干扰行车；现场要有专人指挥，控制并尽量减少施工与交通的相互影响，配合有关部门维持现场交通秩序。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（5）加强现场巡查，及时发现并清除路面影响行车的抛洒废弃物件。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（6）如因施工需要，进行交通分流、管制等措施时，必须事前与业主单位、路政、交警部门密切协调配合。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（7）施工人员必须在防护区域内活动，禁止横穿高速。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（8）机械设备定期维护保养，保证进行设备随时处于良好状态。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（9）每天施工结束收回安全设施时，要将车辆停放于防护区内，采取逆向回收的方法，在回收过程中要有专人对路过车辆进行指挥疏导。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（10）施工车辆要严格遵守法律法规，停放时要停用施工防护区域内，坚决禁止无证驾驶、酒后驾驶。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2021" w:name="_Toc23259"/>
      <w:bookmarkStart w:id="2022" w:name="_Toc17062"/>
      <w:bookmarkStart w:id="2023" w:name="_Toc27045"/>
      <w:bookmarkStart w:id="2024" w:name="_Toc21458"/>
      <w:r>
        <w:rPr>
          <w:rFonts w:hint="eastAsia" w:asciiTheme="minorEastAsia" w:hAnsiTheme="minorEastAsia" w:eastAsiaTheme="minorEastAsia" w:cstheme="minorEastAsia"/>
          <w:b w:val="0"/>
          <w:bCs w:val="0"/>
          <w:sz w:val="24"/>
          <w:lang w:val="en-US" w:eastAsia="zh-CN"/>
        </w:rPr>
        <w:t>（11）禁止作业人员现场扎堆聚集。</w:t>
      </w:r>
      <w:bookmarkEnd w:id="2021"/>
      <w:bookmarkEnd w:id="2022"/>
      <w:bookmarkEnd w:id="2023"/>
      <w:bookmarkEnd w:id="202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025" w:name="_Toc12921"/>
      <w:bookmarkStart w:id="2026" w:name="_Toc6570"/>
      <w:bookmarkStart w:id="2027" w:name="_Toc14468"/>
      <w:bookmarkStart w:id="2028" w:name="_Toc8450"/>
      <w:r>
        <w:rPr>
          <w:rFonts w:hint="eastAsia" w:asciiTheme="minorEastAsia" w:hAnsiTheme="minorEastAsia" w:eastAsiaTheme="minorEastAsia" w:cstheme="minorEastAsia"/>
          <w:b w:val="0"/>
          <w:bCs w:val="0"/>
          <w:sz w:val="24"/>
          <w:lang w:val="en-US" w:eastAsia="zh-CN"/>
        </w:rPr>
        <w:t>2、交通应急处置措施</w:t>
      </w:r>
      <w:bookmarkEnd w:id="2025"/>
      <w:bookmarkEnd w:id="2026"/>
      <w:bookmarkEnd w:id="2027"/>
      <w:bookmarkEnd w:id="202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（1）施工现场一旦发生事故，现场负责人先行组织抢救伤员，同时向公安交警部门和急救中心报警求助，并迅速将事故信息报告项目部安全应急领导小组。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（2）项目部安全应急领导小组接到通知后，组长迅速指挥人员将伤员疏散至安全地段，在事故路段摆放标志标牌引导交通，并将事故信息报管理处和其他相关单位。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2029" w:name="_Toc6215"/>
      <w:bookmarkStart w:id="2030" w:name="_Toc30749"/>
      <w:bookmarkStart w:id="2031" w:name="_Toc29739"/>
      <w:bookmarkStart w:id="2032" w:name="_Toc23776"/>
      <w:r>
        <w:rPr>
          <w:rFonts w:hint="eastAsia" w:asciiTheme="minorEastAsia" w:hAnsiTheme="minorEastAsia" w:eastAsiaTheme="minorEastAsia" w:cstheme="minorEastAsia"/>
          <w:b w:val="0"/>
          <w:bCs w:val="0"/>
          <w:sz w:val="24"/>
          <w:lang w:val="en-US" w:eastAsia="zh-CN"/>
        </w:rPr>
        <w:t>（3）项目部要迅速协助有关单位对受伤人员进行抢救。</w:t>
      </w:r>
      <w:bookmarkEnd w:id="2029"/>
      <w:bookmarkEnd w:id="2030"/>
      <w:bookmarkEnd w:id="2031"/>
      <w:bookmarkEnd w:id="203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（4）采取有效措施，作好善后处置工作。紧急救援行动结束后，应对事故留下的现场进行清理，维护事故路段的正常通行秩序。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033" w:name="_Toc4533"/>
      <w:bookmarkStart w:id="2034" w:name="_Toc19285"/>
      <w:bookmarkStart w:id="2035" w:name="_Toc24686"/>
      <w:bookmarkStart w:id="2036" w:name="_Toc16519"/>
      <w:bookmarkStart w:id="2037" w:name="_Toc24900"/>
      <w:bookmarkStart w:id="2038" w:name="_Toc2065"/>
      <w:bookmarkStart w:id="2039" w:name="_Toc7627"/>
      <w:r>
        <w:rPr>
          <w:rFonts w:hint="eastAsia" w:asciiTheme="minorEastAsia" w:hAnsiTheme="minorEastAsia" w:eastAsiaTheme="minorEastAsia" w:cstheme="minorEastAsia"/>
          <w:b w:val="0"/>
          <w:bCs w:val="0"/>
          <w:sz w:val="24"/>
          <w:lang w:val="en-US" w:eastAsia="zh-CN"/>
        </w:rPr>
        <w:t>3、交通导改方式及安全防护设施</w:t>
      </w:r>
      <w:bookmarkEnd w:id="2033"/>
      <w:bookmarkEnd w:id="2034"/>
      <w:bookmarkEnd w:id="2035"/>
      <w:r>
        <w:rPr>
          <w:rFonts w:hint="eastAsia" w:asciiTheme="minorEastAsia" w:hAnsiTheme="minorEastAsia" w:eastAsiaTheme="minorEastAsia" w:cstheme="minorEastAsia"/>
          <w:b w:val="0"/>
          <w:bCs w:val="0"/>
          <w:sz w:val="24"/>
          <w:lang w:val="en-US" w:eastAsia="zh-CN"/>
        </w:rPr>
        <w:t>安全保证措施</w:t>
      </w:r>
      <w:bookmarkEnd w:id="2036"/>
      <w:bookmarkEnd w:id="2037"/>
      <w:bookmarkEnd w:id="2038"/>
      <w:bookmarkEnd w:id="203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1）、控制区域依次为:警告区S；上游过渡区Ls；纵向缓冲区H；横向缓冲区Hh；工作区G；下游过渡区Lx；终止区Z。</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2）、封闭行车道进行养护施工作业路段的警告牌、标志牌具体设置位置（施工期间交通管制图附后）: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（1）在警告区起点的两侧设置“前方5000m施工”的施工距离标志；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（2）在进入警告区2000m的右侧设置 “前方3000m施工”的施工距离标志；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（3）在进入警告区3000m的右侧设置 “前方2000m施工”的施工距离标志；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（4）在进入警告区3200m的右侧设置 “80km/h”的限速标志；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（5）在进入警告区3800m处的右侧设置“60km/h”的限速标志；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（6）在进入警告区4000m的右侧设置 “前方1000m施工”的施工距离标志；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（7）在进入警告区4200m处的左侧设置“爆闪警示灯”和“禁止超车”，右侧设置“车道数减少”的标志；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（8）从上游过渡区起点到缓冲区起点依次横向过渡摆放“锥型交通路标”设施；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（9）在上游过渡区起点的“锥型交通路标”设施后面横向摆放“闪光箭头”设施和“向左行驶”的导向标志；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（10）在缓冲区起点设置“施工长度3000m”的提示标志和“附设警示灯的路栏”设施；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（11）在横向缓冲区左侧均匀设置“锥型交通路标”设施；如果有夜间施工作业的在工作区摆放“夜间照明设施”；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（12）从工作区终点至下游过渡区终点由左向右依次均匀摆放“锥型交通路标”设施；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（13）在终止区终点右侧设置“解除限速60km/h”的解除限速标志。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drawing>
          <wp:anchor distT="0" distB="0" distL="114300" distR="114300" simplePos="0" relativeHeight="251677696" behindDoc="0" locked="0" layoutInCell="1" allowOverlap="1">
            <wp:simplePos x="0" y="0"/>
            <wp:positionH relativeFrom="column">
              <wp:posOffset>826135</wp:posOffset>
            </wp:positionH>
            <wp:positionV relativeFrom="paragraph">
              <wp:posOffset>-103505</wp:posOffset>
            </wp:positionV>
            <wp:extent cx="3403600" cy="3251200"/>
            <wp:effectExtent l="0" t="0" r="6350" b="6350"/>
            <wp:wrapSquare wrapText="bothSides"/>
            <wp:docPr id="46" name="图片 46" descr="C:\Users\ADMINI~1\AppData\Local\Temp\WeChat Files\f31015d76cfa0af151fbb0307fed6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ADMINI~1\AppData\Local\Temp\WeChat Files\f31015d76cfa0af151fbb0307fed64f.jpg"/>
                    <pic:cNvPicPr>
                      <a:picLocks noChangeAspect="1"/>
                    </pic:cNvPicPr>
                  </pic:nvPicPr>
                  <pic:blipFill>
                    <a:blip r:embed="rId17" cstate="print"/>
                    <a:srcRect b="5005"/>
                    <a:stretch>
                      <a:fillRect/>
                    </a:stretch>
                  </pic:blipFill>
                  <pic:spPr>
                    <a:xfrm>
                      <a:off x="0" y="0"/>
                      <a:ext cx="3403600" cy="3251200"/>
                    </a:xfrm>
                    <a:prstGeom prst="rect">
                      <a:avLst/>
                    </a:prstGeom>
                    <a:noFill/>
                    <a:ln>
                      <a:noFill/>
                    </a:ln>
                  </pic:spPr>
                </pic:pic>
              </a:graphicData>
            </a:graphic>
          </wp:anchor>
        </w:drawing>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3）、封闭超车道进行养护施工作业路段的警告牌、标志牌具体设置位置（施工期间交通管制图附后）: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（1）在警告区起点的两侧设置“前方5000m施工”的施工距离标志；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（2）在进入警告区2000m的右侧设置 “前方3000m施工”的施工距离标志；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（3）在进入警告区3000m的右侧设置 “前方2000m施工”的施工距离标志；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（4）在进入警告区3200m的左侧设置 “80km/h”的限速标志；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（5）在进入警告区3800m处的左侧设置“60km/h”的限速标志；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（6）在进入警告区4000m的右侧设置 “前方1000m施工”的施工距离标志；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（7）在进入警告区4200m处的右侧设置“爆闪警示灯”和“禁止超车”，左侧设置“车道数减少”的标志；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（8）从上游过渡区起点到缓冲区起点依次横向过渡摆放“锥型交通路标”设施；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（9）在上游过渡区起点的“锥型交通路标”设施后面横向摆放“闪光箭头”设施和“向右行驶”的导向标志；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（10）在缓冲区起点设置“施工长度3000m”的提示标志和“附设警示灯的路栏”设施；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drawing>
          <wp:anchor distT="0" distB="0" distL="114300" distR="114300" simplePos="0" relativeHeight="251678720" behindDoc="0" locked="0" layoutInCell="1" allowOverlap="1">
            <wp:simplePos x="0" y="0"/>
            <wp:positionH relativeFrom="column">
              <wp:posOffset>962025</wp:posOffset>
            </wp:positionH>
            <wp:positionV relativeFrom="paragraph">
              <wp:posOffset>9525</wp:posOffset>
            </wp:positionV>
            <wp:extent cx="4015105" cy="3981450"/>
            <wp:effectExtent l="0" t="0" r="4445" b="0"/>
            <wp:wrapSquare wrapText="bothSides"/>
            <wp:docPr id="47" name="图片 1" descr="C:\Users\ADMINI~1\AppData\Local\Temp\WeChat Files\88dbfa8b19856f0e3609d652ad54d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descr="C:\Users\ADMINI~1\AppData\Local\Temp\WeChat Files\88dbfa8b19856f0e3609d652ad54d70.jpg"/>
                    <pic:cNvPicPr>
                      <a:picLocks noChangeAspect="1"/>
                    </pic:cNvPicPr>
                  </pic:nvPicPr>
                  <pic:blipFill>
                    <a:blip r:embed="rId18" cstate="print"/>
                    <a:srcRect b="4057"/>
                    <a:stretch>
                      <a:fillRect/>
                    </a:stretch>
                  </pic:blipFill>
                  <pic:spPr>
                    <a:xfrm>
                      <a:off x="0" y="0"/>
                      <a:ext cx="4015105" cy="3981450"/>
                    </a:xfrm>
                    <a:prstGeom prst="rect">
                      <a:avLst/>
                    </a:prstGeom>
                    <a:noFill/>
                    <a:ln>
                      <a:noFill/>
                    </a:ln>
                  </pic:spPr>
                </pic:pic>
              </a:graphicData>
            </a:graphic>
          </wp:anchor>
        </w:drawing>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b/>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2040" w:name="_Toc14114"/>
      <w:bookmarkStart w:id="2041" w:name="_Toc23429"/>
      <w:bookmarkStart w:id="2042" w:name="_Toc249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（11）在横向缓冲区左侧均匀设置“锥型交通路标”设施；如果有夜间施工作业的在工作区摆放“夜间照明设施”；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（12）从工作区终点至下游过渡区终点由左向右依次均匀摆放“锥型交通路标”设施；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（13）在终止区终点左侧设置“解除限速60km/h”的解除限速标志，右侧设置 “取消禁止超车”标志。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043" w:name="_Toc9695"/>
      <w:bookmarkStart w:id="2044" w:name="_Toc6909"/>
      <w:bookmarkStart w:id="2045" w:name="_Toc7201"/>
      <w:bookmarkStart w:id="2046" w:name="_Toc28519"/>
      <w:r>
        <w:rPr>
          <w:rFonts w:hint="eastAsia" w:asciiTheme="minorEastAsia" w:hAnsiTheme="minorEastAsia" w:eastAsiaTheme="minorEastAsia" w:cstheme="minorEastAsia"/>
          <w:b w:val="0"/>
          <w:bCs w:val="0"/>
          <w:sz w:val="24"/>
          <w:lang w:val="en-US" w:eastAsia="zh-CN"/>
        </w:rPr>
        <w:t>3、季节性施工</w:t>
      </w:r>
      <w:bookmarkEnd w:id="2040"/>
      <w:bookmarkEnd w:id="2041"/>
      <w:bookmarkEnd w:id="2042"/>
      <w:bookmarkEnd w:id="2043"/>
      <w:bookmarkEnd w:id="2044"/>
      <w:bookmarkEnd w:id="2045"/>
      <w:bookmarkEnd w:id="204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暴雨、大风前后，要检查工地的安全设施，机电设备，发现有倾斜、变形、下沉、漏雨、漏电等现象，及时维修加固，有危险险情的，先排除隐患再进行维修。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夏季作业宜调整作息时间，从事高温作业的场所，加强通风和降温措施。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雨季施工有防触电、防雷、防坍塌等安全措施。</w:t>
      </w:r>
    </w:p>
    <w:p>
      <w:pPr>
        <w:pStyle w:val="9"/>
        <w:bidi w:val="0"/>
        <w:ind w:firstLine="482" w:firstLineChars="200"/>
        <w:rPr>
          <w:rFonts w:hint="eastAsia" w:ascii="宋体" w:hAnsi="宋体" w:eastAsia="宋体" w:cs="宋体"/>
          <w:sz w:val="24"/>
          <w:szCs w:val="24"/>
          <w:lang w:val="en-US" w:eastAsia="zh-CN"/>
        </w:rPr>
      </w:pPr>
      <w:bookmarkStart w:id="2047" w:name="_Toc702"/>
      <w:bookmarkStart w:id="2048" w:name="_Toc20631"/>
      <w:bookmarkStart w:id="2049" w:name="_Toc18375"/>
      <w:bookmarkStart w:id="2050" w:name="_Toc17339"/>
      <w:bookmarkStart w:id="2051" w:name="_Toc14883"/>
      <w:bookmarkStart w:id="2052" w:name="_Toc25269"/>
      <w:bookmarkStart w:id="2053" w:name="_Toc17977"/>
      <w:bookmarkStart w:id="2054" w:name="_Toc10329"/>
      <w:bookmarkStart w:id="2055" w:name="_Toc10450"/>
      <w:r>
        <w:rPr>
          <w:rFonts w:hint="eastAsia" w:ascii="宋体" w:hAnsi="宋体" w:eastAsia="宋体" w:cs="宋体"/>
          <w:sz w:val="24"/>
          <w:szCs w:val="24"/>
          <w:lang w:val="en-US" w:eastAsia="zh-CN"/>
        </w:rPr>
        <w:t>6.3.9应急处置</w:t>
      </w:r>
      <w:bookmarkEnd w:id="2047"/>
      <w:bookmarkEnd w:id="2048"/>
      <w:bookmarkEnd w:id="2049"/>
      <w:bookmarkEnd w:id="2050"/>
      <w:bookmarkEnd w:id="2051"/>
      <w:bookmarkEnd w:id="2052"/>
      <w:bookmarkEnd w:id="2053"/>
      <w:bookmarkEnd w:id="2054"/>
      <w:bookmarkEnd w:id="205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根据项目风险特点制定详尽的交通事故应急预案、交通拥堵应急预案、生产安全事故应急预案、恶劣天气应急预案等应急预案、及高空坠落、高空抛物现场处置方案，遇有突发状况时，启动相应的应急预案，科学处置应对，尽最大可能减少损失、降低不良社会影响。</w:t>
      </w:r>
    </w:p>
    <w:p>
      <w:pPr>
        <w:pStyle w:val="10"/>
        <w:bidi w:val="0"/>
        <w:ind w:firstLine="482" w:firstLineChars="200"/>
        <w:outlineLvl w:val="2"/>
        <w:rPr>
          <w:rFonts w:hint="eastAsia" w:ascii="宋体" w:hAnsi="宋体" w:eastAsia="宋体" w:cs="宋体"/>
          <w:lang w:val="en-US" w:eastAsia="zh-CN"/>
        </w:rPr>
      </w:pPr>
      <w:bookmarkStart w:id="2056" w:name="_Toc15356"/>
      <w:bookmarkStart w:id="2057" w:name="_Toc29562"/>
      <w:bookmarkStart w:id="2058" w:name="_Toc21068"/>
      <w:bookmarkStart w:id="2059" w:name="_Toc21373"/>
      <w:bookmarkStart w:id="2060" w:name="_Toc19270"/>
      <w:bookmarkStart w:id="2061" w:name="_Toc16602"/>
      <w:bookmarkStart w:id="2062" w:name="_Toc31362"/>
      <w:r>
        <w:rPr>
          <w:rFonts w:hint="eastAsia" w:ascii="宋体" w:hAnsi="宋体" w:eastAsia="宋体" w:cs="宋体"/>
          <w:lang w:val="en-US" w:eastAsia="zh-CN"/>
        </w:rPr>
        <w:t>6.3.9.1交通事故应急处置要点</w:t>
      </w:r>
      <w:bookmarkEnd w:id="2056"/>
      <w:bookmarkEnd w:id="2057"/>
      <w:bookmarkEnd w:id="2058"/>
      <w:bookmarkEnd w:id="2059"/>
      <w:bookmarkEnd w:id="2060"/>
      <w:bookmarkEnd w:id="2061"/>
      <w:bookmarkEnd w:id="206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现场控制：事故现场人员如有能力应立即开展自救，封闭事故现场，并摆放好安全警示标志，现场除留下必要的人员负责转移伤员外，其余人员应立即疏散至安全地带，防止造成二次伤害，出现伤者根据受伤情况决定是否拨打120请求专业医疗救援，并及时拨打122报警，并通知项目部应急小组。请求救援、报警、通知应急小组时，要说明现场情况，包括：事发现场具体位置、如人员受伤，说明人员受伤情况；需应急小组救援时，要说明所需救援物品、设备的类型、数量和人员情况等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现场救助：有伤者情况下，现场负责人要根据伤者情况，判断是否需要专业医疗救护，伤势严重不能现场救护或者确定不了伤者受伤情况下，等待专业医疗救护。现场可以自行救护的，立即进行现场救治或者转移伤者到就近医院进行救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3.救助条件：应首先观察伤者情况，在无法判断伤者能否移动时，尽量不要擅自移动伤者，同时做好现场防护；救助人员须具备简单医疗救助常识；服从公安交警部门指挥，配合做好现场其他工作。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4.现场保护：在保障自身安全的前提下，设置明显标识提醒过往车辆注意避让，保护好现场，同时保持救援通道畅通，协助救援，配合公安交通管理部门做好事故调查。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5.事件结束后，采取有效措施，作好善后处置工作。应对事故留下的现场进行清理，维护事故路段的正常通行秩序。</w:t>
      </w:r>
    </w:p>
    <w:p>
      <w:pPr>
        <w:pStyle w:val="10"/>
        <w:bidi w:val="0"/>
        <w:ind w:firstLine="482" w:firstLineChars="200"/>
        <w:outlineLvl w:val="2"/>
        <w:rPr>
          <w:rFonts w:hint="eastAsia"/>
          <w:lang w:val="en-US" w:eastAsia="zh-CN"/>
        </w:rPr>
      </w:pPr>
      <w:bookmarkStart w:id="2063" w:name="_Toc15046"/>
      <w:bookmarkStart w:id="2064" w:name="_Toc30869"/>
      <w:bookmarkStart w:id="2065" w:name="_Toc23663"/>
      <w:bookmarkStart w:id="2066" w:name="_Toc30268"/>
      <w:bookmarkStart w:id="2067" w:name="_Toc3029"/>
      <w:bookmarkStart w:id="2068" w:name="_Toc22031"/>
      <w:bookmarkStart w:id="2069" w:name="_Toc32368"/>
      <w:r>
        <w:rPr>
          <w:rFonts w:hint="eastAsia" w:ascii="宋体" w:hAnsi="宋体" w:eastAsia="宋体" w:cs="宋体"/>
          <w:lang w:val="en-US" w:eastAsia="zh-CN"/>
        </w:rPr>
        <w:t>6.3.9.2交通拥堵应急处置要点</w:t>
      </w:r>
      <w:bookmarkEnd w:id="2063"/>
      <w:bookmarkEnd w:id="2064"/>
      <w:bookmarkEnd w:id="2065"/>
      <w:bookmarkEnd w:id="2066"/>
      <w:bookmarkEnd w:id="2067"/>
      <w:bookmarkEnd w:id="2068"/>
      <w:bookmarkEnd w:id="206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当过往车辆在经过施工路段时发生故障或其他原因引起道路拥堵时，现场安全管理人员要及时将情况汇报高速交警大队。并增加交通疏导人员在来车方向持旗指挥车辆有序行驶，同时要确保自己安全。如拥堵有扩大趋势，现场负责人立即指挥人员缩小施工控制区范围，确保道路畅通不造成更大拥堵情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2、施工作业时，封闭1.5个车道，另外1.5个车道放行。当发生交通堵塞时，如施工区域满足通车条件，可采取暂停施工，将施工车辆、设备、人员全部转移至一侧，开放两条车道放行。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3、施工作业区内发生交通堵塞长达500m以上时视为严重交通堵塞，经交警、路政人员引导后仍不能满足通行要求时，为了道路畅通，听从交警路政人员安排。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4、如遇事故或车辆故障造成的拥堵情况，在高速交警人员指挥下，用施工点待命清障车配合交警把事故车辆拖离拥堵路段，确保道路畅通。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5、如遇拥堵情况特别严重时，施工现场负责人负责组织所有施工人员、设备撤离施工路段，待交通秩序恢复后再上路施工。</w:t>
      </w:r>
    </w:p>
    <w:p>
      <w:pPr>
        <w:pStyle w:val="10"/>
        <w:bidi w:val="0"/>
        <w:outlineLvl w:val="2"/>
        <w:rPr>
          <w:rFonts w:hint="eastAsia" w:ascii="宋体" w:hAnsi="宋体" w:eastAsia="宋体" w:cs="宋体"/>
          <w:lang w:val="en-US" w:eastAsia="zh-CN"/>
        </w:rPr>
      </w:pPr>
      <w:bookmarkStart w:id="2070" w:name="_Toc22772"/>
      <w:bookmarkStart w:id="2071" w:name="_Toc911"/>
      <w:bookmarkStart w:id="2072" w:name="_Toc2949"/>
      <w:bookmarkStart w:id="2073" w:name="_Toc32453"/>
      <w:bookmarkStart w:id="2074" w:name="_Toc17079"/>
      <w:bookmarkStart w:id="2075" w:name="_Toc17659"/>
      <w:bookmarkStart w:id="2076" w:name="_Toc2063"/>
      <w:r>
        <w:rPr>
          <w:rFonts w:hint="eastAsia" w:ascii="宋体" w:hAnsi="宋体" w:eastAsia="宋体" w:cs="宋体"/>
          <w:lang w:val="en-US" w:eastAsia="zh-CN"/>
        </w:rPr>
        <w:t>6.3.9.3节假日及恶劣天气应急处置要点</w:t>
      </w:r>
      <w:bookmarkEnd w:id="2070"/>
      <w:bookmarkEnd w:id="2071"/>
      <w:bookmarkEnd w:id="2072"/>
      <w:bookmarkEnd w:id="2073"/>
      <w:bookmarkEnd w:id="2074"/>
      <w:bookmarkEnd w:id="2075"/>
      <w:bookmarkEnd w:id="207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一、节假日应急处置要点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根据高速交警的通知决定是否施工作业，如允许施工作业，随时了解掌握高速公路车流量的增加情况，如发现车流量急剧增大，听从交警路政安排，在施工区域满足通车条件下，根据车流量情况，转移至一侧或者立即停止施工，确保道路通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二、恶劣天气应急处置要点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在大风、暴雨、大雪等恶劣天气下，值班人员应加强巡查，掌握驻地、作业区域整体情况，发现受损设施设备，及时向应急小组报告或发出求救警报。施工现场设置安全防范，组织人员抢险，并向上级部门报告，求援。其他员工应听从指挥，保护驻地及施工现场安全，疏导车辆，维护秩序。如有人员受伤，应立即进行救护。如遇极端恶劣情况，立即停止施工，现场机械设备及材料物资撤出施工现场，恢复现场保通畅，保障行车安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077" w:name="_Toc11545"/>
      <w:bookmarkStart w:id="2078" w:name="_Toc5973"/>
      <w:bookmarkStart w:id="2079" w:name="_Toc1748"/>
      <w:bookmarkStart w:id="2080" w:name="_Toc15102"/>
      <w:r>
        <w:rPr>
          <w:rFonts w:hint="eastAsia" w:asciiTheme="minorEastAsia" w:hAnsiTheme="minorEastAsia" w:eastAsiaTheme="minorEastAsia" w:cstheme="minorEastAsia"/>
          <w:b w:val="0"/>
          <w:bCs w:val="0"/>
          <w:sz w:val="24"/>
          <w:lang w:val="en-US" w:eastAsia="zh-CN"/>
        </w:rPr>
        <w:t>2、预警信息管理与发布</w:t>
      </w:r>
      <w:bookmarkEnd w:id="2077"/>
      <w:bookmarkEnd w:id="2078"/>
      <w:bookmarkEnd w:id="2079"/>
      <w:bookmarkEnd w:id="208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恶劣天气的风险监测信息渠道主要来自气象部门、各现场人员日常巡查监测，以及上级交通主管部门发布或提供的恶劣天气预警信息。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081" w:name="_Toc9359"/>
      <w:bookmarkStart w:id="2082" w:name="_Toc9489"/>
      <w:bookmarkStart w:id="2083" w:name="_Toc31632"/>
      <w:bookmarkStart w:id="2084" w:name="_Toc17010"/>
      <w:r>
        <w:rPr>
          <w:rFonts w:hint="eastAsia" w:asciiTheme="minorEastAsia" w:hAnsiTheme="minorEastAsia" w:eastAsiaTheme="minorEastAsia" w:cstheme="minorEastAsia"/>
          <w:b w:val="0"/>
          <w:bCs w:val="0"/>
          <w:sz w:val="24"/>
          <w:lang w:val="en-US" w:eastAsia="zh-CN"/>
        </w:rPr>
        <w:t>3、应急响应与处置</w:t>
      </w:r>
      <w:bookmarkEnd w:id="2081"/>
      <w:bookmarkEnd w:id="2082"/>
      <w:bookmarkEnd w:id="2083"/>
      <w:bookmarkEnd w:id="208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2085" w:name="_Toc30062"/>
      <w:bookmarkStart w:id="2086" w:name="_Toc9491"/>
      <w:bookmarkStart w:id="2087" w:name="_Toc188"/>
      <w:bookmarkStart w:id="2088" w:name="_Toc13364"/>
      <w:r>
        <w:rPr>
          <w:rFonts w:hint="eastAsia" w:asciiTheme="minorEastAsia" w:hAnsiTheme="minorEastAsia" w:eastAsiaTheme="minorEastAsia" w:cstheme="minorEastAsia"/>
          <w:b w:val="0"/>
          <w:bCs w:val="0"/>
          <w:sz w:val="24"/>
          <w:lang w:val="en-US" w:eastAsia="zh-CN"/>
        </w:rPr>
        <w:t>1）分级响应程序</w:t>
      </w:r>
      <w:bookmarkEnd w:id="2085"/>
      <w:bookmarkEnd w:id="2086"/>
      <w:bookmarkEnd w:id="2087"/>
      <w:bookmarkEnd w:id="208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发布红色预警后，项目部应急领导组组长和所有成员立即到达相应岗位，按对应的防范措施要求开展工作。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1"/>
        <w:rPr>
          <w:rFonts w:hint="eastAsia" w:asciiTheme="minorEastAsia" w:hAnsiTheme="minorEastAsia" w:eastAsiaTheme="minorEastAsia" w:cstheme="minorEastAsia"/>
          <w:b w:val="0"/>
          <w:bCs w:val="0"/>
          <w:sz w:val="24"/>
          <w:lang w:val="en-US" w:eastAsia="zh-CN"/>
        </w:rPr>
      </w:pPr>
      <w:bookmarkStart w:id="2089" w:name="_Toc15804"/>
      <w:bookmarkStart w:id="2090" w:name="_Toc17540"/>
      <w:bookmarkStart w:id="2091" w:name="_Toc17609"/>
      <w:bookmarkStart w:id="2092" w:name="_Toc26540"/>
      <w:r>
        <w:rPr>
          <w:rFonts w:hint="eastAsia" w:asciiTheme="minorEastAsia" w:hAnsiTheme="minorEastAsia" w:eastAsiaTheme="minorEastAsia" w:cstheme="minorEastAsia"/>
          <w:b w:val="0"/>
          <w:bCs w:val="0"/>
          <w:sz w:val="24"/>
          <w:lang w:val="en-US" w:eastAsia="zh-CN"/>
        </w:rPr>
        <w:t>2）应急处置</w:t>
      </w:r>
      <w:bookmarkEnd w:id="2089"/>
      <w:bookmarkEnd w:id="2090"/>
      <w:bookmarkEnd w:id="2091"/>
      <w:bookmarkEnd w:id="209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警情失控且定性为重大突发事件，事发所在作业区域负责人要立即向项目应急小组进行事态报告，组织应急救援力量开展应急处置，请求路段高速交警、路政、养护、部门进行联合处置，同时报告119、120等地方专业救援单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应急领导小组接到突发事件信息报告后，充分了解事故情况，根据实际情况协调、通知有关应急抢险及救援队伍携带应急物资迅速赶往事故现场。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现场处置人员要及时向应急小组组长上报天气、路况、通行情况，包括地面温度、能见度等现场及周边环境情况。巡查车辆做好应急准备，车辆内装好反光锥限速牌等物品。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应急领导小组根据现场报告情况，及时联系收费站封闭相关入口，维护收费站广场车流秩序，协助疏导分流车辆驶出收费广场。同时在入口处要预留紧急车道，确保抢险救援车辆能驶入高速公路。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协助交警疏通应急通道，确保急救车辆能及时为有需要的滞留司乘人员提供救助。</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应急状态结束后，总结恶劣天气应急处置经验教训，并形成书面材料报上级相关部门。</w:t>
      </w:r>
    </w:p>
    <w:p>
      <w:pPr>
        <w:pStyle w:val="10"/>
        <w:bidi w:val="0"/>
        <w:ind w:firstLine="482" w:firstLineChars="200"/>
        <w:outlineLvl w:val="2"/>
        <w:rPr>
          <w:rFonts w:hint="eastAsia" w:ascii="宋体" w:hAnsi="宋体" w:eastAsia="宋体" w:cs="宋体"/>
          <w:lang w:val="en-US" w:eastAsia="zh-CN"/>
        </w:rPr>
      </w:pPr>
      <w:bookmarkStart w:id="2093" w:name="_Toc3785"/>
      <w:bookmarkStart w:id="2094" w:name="_Toc6706"/>
      <w:bookmarkStart w:id="2095" w:name="_Toc13970"/>
      <w:bookmarkStart w:id="2096" w:name="_Toc4832"/>
      <w:bookmarkStart w:id="2097" w:name="_Toc30117"/>
      <w:bookmarkStart w:id="2098" w:name="_Toc20736"/>
      <w:bookmarkStart w:id="2099" w:name="_Toc27488"/>
      <w:r>
        <w:rPr>
          <w:rFonts w:hint="eastAsia" w:ascii="宋体" w:hAnsi="宋体" w:eastAsia="宋体" w:cs="宋体"/>
          <w:lang w:val="en-US" w:eastAsia="zh-CN"/>
        </w:rPr>
        <w:t>6.3.9.4高空坠落及高空落物伤害现场处置要点</w:t>
      </w:r>
      <w:bookmarkEnd w:id="2093"/>
      <w:bookmarkEnd w:id="2094"/>
      <w:bookmarkEnd w:id="2095"/>
      <w:bookmarkEnd w:id="2096"/>
      <w:bookmarkEnd w:id="2097"/>
      <w:bookmarkEnd w:id="2098"/>
      <w:bookmarkEnd w:id="209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一</w:t>
      </w:r>
      <w:r>
        <w:rPr>
          <w:rFonts w:hint="default" w:asciiTheme="minorEastAsia" w:hAnsiTheme="minorEastAsia" w:eastAsiaTheme="minorEastAsia" w:cstheme="minorEastAsia"/>
          <w:b w:val="0"/>
          <w:bCs w:val="0"/>
          <w:sz w:val="24"/>
          <w:lang w:val="en-US" w:eastAsia="zh-CN"/>
        </w:rPr>
        <w:t>、危急事件的应对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1、在高处坠落事故及高空落物伤害中，时间是非常关键的。一旦发生事故，应立即启动紧急救援措施。首先，联系应急领导小组，告知事故发生地点和具体情况，根据伤者情况决定是否需要专业医疗救护。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w:t>
      </w:r>
      <w:r>
        <w:rPr>
          <w:rFonts w:hint="default" w:asciiTheme="minorEastAsia" w:hAnsiTheme="minorEastAsia" w:eastAsiaTheme="minorEastAsia" w:cstheme="minorEastAsia"/>
          <w:b w:val="0"/>
          <w:bCs w:val="0"/>
          <w:sz w:val="24"/>
          <w:lang w:val="en-US" w:eastAsia="zh-CN"/>
        </w:rPr>
        <w:t>认真观查伤员全身情况，防止伤情恶化</w:t>
      </w:r>
      <w:r>
        <w:rPr>
          <w:rFonts w:hint="eastAsia" w:asciiTheme="minorEastAsia" w:hAnsiTheme="minorEastAsia" w:eastAsiaTheme="minorEastAsia" w:cstheme="minorEastAsia"/>
          <w:b w:val="0"/>
          <w:bCs w:val="0"/>
          <w:sz w:val="24"/>
          <w:lang w:val="en-US" w:eastAsia="zh-CN"/>
        </w:rPr>
        <w:t>，组织现场人员进行简单的急救措施，如止血、固定伤者等，以减少进一步的伤害。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3、在急救过程中，要确保救援人员的安全，遵守救援规范，采取适当的救援工具和装备。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4、在救援人员到达现场后，要根据事故情况迅速展开救援行动。救援人员应配合默契，确保救援过程中的安全和顺利。</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5、为了减少伤者的痛苦和进一步的伤害，救援人员要在施救过程中注意施救方法和救护措施，如正确的固定伤者、稳定伤者的呼吸等。</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二、</w:t>
      </w:r>
      <w:r>
        <w:rPr>
          <w:rFonts w:hint="default" w:asciiTheme="minorEastAsia" w:hAnsiTheme="minorEastAsia" w:eastAsiaTheme="minorEastAsia" w:cstheme="minorEastAsia"/>
          <w:b w:val="0"/>
          <w:bCs w:val="0"/>
          <w:sz w:val="24"/>
          <w:lang w:val="en-US" w:eastAsia="zh-CN"/>
        </w:rPr>
        <w:t>人身轻伤事件</w:t>
      </w:r>
      <w:r>
        <w:rPr>
          <w:rFonts w:hint="eastAsia" w:asciiTheme="minorEastAsia" w:hAnsiTheme="minorEastAsia" w:eastAsiaTheme="minorEastAsia" w:cstheme="minorEastAsia"/>
          <w:b w:val="0"/>
          <w:bCs w:val="0"/>
          <w:sz w:val="24"/>
          <w:lang w:val="en-US" w:eastAsia="zh-CN"/>
        </w:rPr>
        <w:t>处理措施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default" w:asciiTheme="minorEastAsia" w:hAnsiTheme="minorEastAsia" w:eastAsiaTheme="minorEastAsia" w:cstheme="minorEastAsia"/>
          <w:b w:val="0"/>
          <w:bCs w:val="0"/>
          <w:sz w:val="24"/>
          <w:lang w:val="en-US" w:eastAsia="zh-CN"/>
        </w:rPr>
      </w:pPr>
      <w:bookmarkStart w:id="2100" w:name="_Toc19106"/>
      <w:bookmarkStart w:id="2101" w:name="_Toc7400"/>
      <w:bookmarkStart w:id="2102" w:name="_Toc3921"/>
      <w:bookmarkStart w:id="2103" w:name="_Toc24546"/>
      <w:r>
        <w:rPr>
          <w:rFonts w:hint="default" w:asciiTheme="minorEastAsia" w:hAnsiTheme="minorEastAsia" w:eastAsiaTheme="minorEastAsia" w:cstheme="minorEastAsia"/>
          <w:b w:val="0"/>
          <w:bCs w:val="0"/>
          <w:sz w:val="24"/>
          <w:lang w:val="en-US" w:eastAsia="zh-CN"/>
        </w:rPr>
        <w:t>1</w:t>
      </w:r>
      <w:r>
        <w:rPr>
          <w:rFonts w:hint="eastAsia" w:asciiTheme="minorEastAsia" w:hAnsiTheme="minorEastAsia" w:eastAsiaTheme="minorEastAsia" w:cstheme="minorEastAsia"/>
          <w:b w:val="0"/>
          <w:bCs w:val="0"/>
          <w:sz w:val="24"/>
          <w:lang w:val="en-US" w:eastAsia="zh-CN"/>
        </w:rPr>
        <w:t>、</w:t>
      </w:r>
      <w:r>
        <w:rPr>
          <w:rFonts w:hint="default" w:asciiTheme="minorEastAsia" w:hAnsiTheme="minorEastAsia" w:eastAsiaTheme="minorEastAsia" w:cstheme="minorEastAsia"/>
          <w:b w:val="0"/>
          <w:bCs w:val="0"/>
          <w:sz w:val="24"/>
          <w:lang w:val="en-US" w:eastAsia="zh-CN"/>
        </w:rPr>
        <w:t>轻微伤：</w:t>
      </w:r>
      <w:bookmarkEnd w:id="2100"/>
      <w:bookmarkEnd w:id="2101"/>
      <w:bookmarkEnd w:id="2102"/>
      <w:bookmarkEnd w:id="210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a、停止伤者的工作；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b、实施简易处置；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c、伤势为创口时，迅速</w:t>
      </w:r>
      <w:r>
        <w:rPr>
          <w:rFonts w:hint="eastAsia" w:asciiTheme="minorEastAsia" w:hAnsiTheme="minorEastAsia" w:eastAsiaTheme="minorEastAsia" w:cstheme="minorEastAsia"/>
          <w:b w:val="0"/>
          <w:bCs w:val="0"/>
          <w:sz w:val="24"/>
          <w:lang w:val="en-US" w:eastAsia="zh-CN"/>
        </w:rPr>
        <w:t>用备用医疗用品对伤者进行包扎和消毒，同时和伤者沟通、询问受伤情况，决定是否送至就近医疗点</w:t>
      </w:r>
      <w:r>
        <w:rPr>
          <w:rFonts w:hint="default"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d、需要一定处置才能行走</w:t>
      </w:r>
      <w:r>
        <w:rPr>
          <w:rFonts w:hint="eastAsia" w:asciiTheme="minorEastAsia" w:hAnsiTheme="minorEastAsia" w:eastAsiaTheme="minorEastAsia" w:cstheme="minorEastAsia"/>
          <w:b w:val="0"/>
          <w:bCs w:val="0"/>
          <w:sz w:val="24"/>
          <w:lang w:val="en-US" w:eastAsia="zh-CN"/>
        </w:rPr>
        <w:t>或</w:t>
      </w:r>
      <w:r>
        <w:rPr>
          <w:rFonts w:hint="default" w:asciiTheme="minorEastAsia" w:hAnsiTheme="minorEastAsia" w:eastAsiaTheme="minorEastAsia" w:cstheme="minorEastAsia"/>
          <w:b w:val="0"/>
          <w:bCs w:val="0"/>
          <w:sz w:val="24"/>
          <w:lang w:val="en-US" w:eastAsia="zh-CN"/>
        </w:rPr>
        <w:t>伤情难以确定时，</w:t>
      </w:r>
      <w:r>
        <w:rPr>
          <w:rFonts w:hint="eastAsia" w:asciiTheme="minorEastAsia" w:hAnsiTheme="minorEastAsia" w:eastAsiaTheme="minorEastAsia" w:cstheme="minorEastAsia"/>
          <w:b w:val="0"/>
          <w:bCs w:val="0"/>
          <w:sz w:val="24"/>
          <w:lang w:val="en-US" w:eastAsia="zh-CN"/>
        </w:rPr>
        <w:t>护送伤者去就近医疗点就行救护</w:t>
      </w:r>
      <w:r>
        <w:rPr>
          <w:rFonts w:hint="default" w:asciiTheme="minorEastAsia" w:hAnsiTheme="minorEastAsia" w:eastAsiaTheme="minorEastAsia" w:cstheme="minorEastAsia"/>
          <w:b w:val="0"/>
          <w:bCs w:val="0"/>
          <w:sz w:val="24"/>
          <w:lang w:val="en-US" w:eastAsia="zh-CN"/>
        </w:rPr>
        <w:t>；</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default" w:asciiTheme="minorEastAsia" w:hAnsiTheme="minorEastAsia" w:eastAsiaTheme="minorEastAsia" w:cstheme="minorEastAsia"/>
          <w:b w:val="0"/>
          <w:bCs w:val="0"/>
          <w:sz w:val="24"/>
          <w:lang w:val="en-US" w:eastAsia="zh-CN"/>
        </w:rPr>
      </w:pPr>
      <w:bookmarkStart w:id="2104" w:name="_Toc14937"/>
      <w:bookmarkStart w:id="2105" w:name="_Toc24531"/>
      <w:bookmarkStart w:id="2106" w:name="_Toc22589"/>
      <w:bookmarkStart w:id="2107" w:name="_Toc20426"/>
      <w:r>
        <w:rPr>
          <w:rFonts w:hint="eastAsia" w:asciiTheme="minorEastAsia" w:hAnsiTheme="minorEastAsia" w:eastAsiaTheme="minorEastAsia" w:cstheme="minorEastAsia"/>
          <w:b w:val="0"/>
          <w:bCs w:val="0"/>
          <w:sz w:val="24"/>
          <w:lang w:val="en-US" w:eastAsia="zh-CN"/>
        </w:rPr>
        <w:t>2、</w:t>
      </w:r>
      <w:r>
        <w:rPr>
          <w:rFonts w:hint="default" w:asciiTheme="minorEastAsia" w:hAnsiTheme="minorEastAsia" w:eastAsiaTheme="minorEastAsia" w:cstheme="minorEastAsia"/>
          <w:b w:val="0"/>
          <w:bCs w:val="0"/>
          <w:sz w:val="24"/>
          <w:lang w:val="en-US" w:eastAsia="zh-CN"/>
        </w:rPr>
        <w:t>轻伤：</w:t>
      </w:r>
      <w:bookmarkEnd w:id="2104"/>
      <w:bookmarkEnd w:id="2105"/>
      <w:bookmarkEnd w:id="2106"/>
      <w:bookmarkEnd w:id="210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a、立即停止伤者的工作；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b、实施简易处置；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c、伤势为创口</w:t>
      </w:r>
      <w:r>
        <w:rPr>
          <w:rFonts w:hint="eastAsia" w:asciiTheme="minorEastAsia" w:hAnsiTheme="minorEastAsia" w:eastAsiaTheme="minorEastAsia" w:cstheme="minorEastAsia"/>
          <w:b w:val="0"/>
          <w:bCs w:val="0"/>
          <w:sz w:val="24"/>
          <w:lang w:val="en-US" w:eastAsia="zh-CN"/>
        </w:rPr>
        <w:t>或需要一定救治才能行走时，</w:t>
      </w:r>
      <w:r>
        <w:rPr>
          <w:rFonts w:hint="default" w:asciiTheme="minorEastAsia" w:hAnsiTheme="minorEastAsia" w:eastAsiaTheme="minorEastAsia" w:cstheme="minorEastAsia"/>
          <w:b w:val="0"/>
          <w:bCs w:val="0"/>
          <w:sz w:val="24"/>
          <w:lang w:val="en-US" w:eastAsia="zh-CN"/>
        </w:rPr>
        <w:t>迅速将伤者送</w:t>
      </w:r>
      <w:r>
        <w:rPr>
          <w:rFonts w:hint="eastAsia" w:asciiTheme="minorEastAsia" w:hAnsiTheme="minorEastAsia" w:eastAsiaTheme="minorEastAsia" w:cstheme="minorEastAsia"/>
          <w:b w:val="0"/>
          <w:bCs w:val="0"/>
          <w:sz w:val="24"/>
          <w:lang w:val="en-US" w:eastAsia="zh-CN"/>
        </w:rPr>
        <w:t>就近</w:t>
      </w:r>
      <w:r>
        <w:rPr>
          <w:rFonts w:hint="default" w:asciiTheme="minorEastAsia" w:hAnsiTheme="minorEastAsia" w:eastAsiaTheme="minorEastAsia" w:cstheme="minorEastAsia"/>
          <w:b w:val="0"/>
          <w:bCs w:val="0"/>
          <w:sz w:val="24"/>
          <w:lang w:val="en-US" w:eastAsia="zh-CN"/>
        </w:rPr>
        <w:t>医疗点医疗；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w:t>
      </w:r>
      <w:r>
        <w:rPr>
          <w:rFonts w:hint="default" w:asciiTheme="minorEastAsia" w:hAnsiTheme="minorEastAsia" w:eastAsiaTheme="minorEastAsia" w:cstheme="minorEastAsia"/>
          <w:b w:val="0"/>
          <w:bCs w:val="0"/>
          <w:sz w:val="24"/>
          <w:lang w:val="en-US" w:eastAsia="zh-CN"/>
        </w:rPr>
        <w:t>、出现非重伤任一条件的骨折及器官、四肢伤害或伤情难以确定时，</w:t>
      </w:r>
      <w:r>
        <w:rPr>
          <w:rFonts w:hint="eastAsia" w:asciiTheme="minorEastAsia" w:hAnsiTheme="minorEastAsia" w:eastAsiaTheme="minorEastAsia" w:cstheme="minorEastAsia"/>
          <w:b w:val="0"/>
          <w:bCs w:val="0"/>
          <w:sz w:val="24"/>
          <w:lang w:val="en-US" w:eastAsia="zh-CN"/>
        </w:rPr>
        <w:t>迅速将伤者护送至</w:t>
      </w:r>
      <w:r>
        <w:rPr>
          <w:rFonts w:hint="default" w:asciiTheme="minorEastAsia" w:hAnsiTheme="minorEastAsia" w:eastAsiaTheme="minorEastAsia" w:cstheme="minorEastAsia"/>
          <w:b w:val="0"/>
          <w:bCs w:val="0"/>
          <w:sz w:val="24"/>
          <w:lang w:val="en-US" w:eastAsia="zh-CN"/>
        </w:rPr>
        <w:t>医院救治；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default" w:asciiTheme="minorEastAsia" w:hAnsiTheme="minorEastAsia" w:eastAsiaTheme="minorEastAsia" w:cstheme="minorEastAsia"/>
          <w:b w:val="0"/>
          <w:bCs w:val="0"/>
          <w:sz w:val="24"/>
          <w:lang w:val="en-US" w:eastAsia="zh-CN"/>
        </w:rPr>
      </w:pPr>
      <w:bookmarkStart w:id="2108" w:name="_Toc28435"/>
      <w:bookmarkStart w:id="2109" w:name="_Toc27951"/>
      <w:bookmarkStart w:id="2110" w:name="_Toc15799"/>
      <w:bookmarkStart w:id="2111" w:name="_Toc10300"/>
      <w:r>
        <w:rPr>
          <w:rFonts w:hint="eastAsia" w:asciiTheme="minorEastAsia" w:hAnsiTheme="minorEastAsia" w:eastAsiaTheme="minorEastAsia" w:cstheme="minorEastAsia"/>
          <w:b w:val="0"/>
          <w:bCs w:val="0"/>
          <w:sz w:val="24"/>
          <w:lang w:val="en-US" w:eastAsia="zh-CN"/>
        </w:rPr>
        <w:t>3、</w:t>
      </w:r>
      <w:r>
        <w:rPr>
          <w:rFonts w:hint="default" w:asciiTheme="minorEastAsia" w:hAnsiTheme="minorEastAsia" w:eastAsiaTheme="minorEastAsia" w:cstheme="minorEastAsia"/>
          <w:b w:val="0"/>
          <w:bCs w:val="0"/>
          <w:sz w:val="24"/>
          <w:lang w:val="en-US" w:eastAsia="zh-CN"/>
        </w:rPr>
        <w:t>人身重伤事件应急预案实施处置、汇报程序</w:t>
      </w:r>
      <w:bookmarkEnd w:id="2108"/>
      <w:bookmarkEnd w:id="2109"/>
      <w:bookmarkEnd w:id="2110"/>
      <w:bookmarkEnd w:id="211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w:t>
      </w:r>
      <w:r>
        <w:rPr>
          <w:rFonts w:hint="default" w:asciiTheme="minorEastAsia" w:hAnsiTheme="minorEastAsia" w:eastAsiaTheme="minorEastAsia" w:cstheme="minorEastAsia"/>
          <w:b w:val="0"/>
          <w:bCs w:val="0"/>
          <w:sz w:val="24"/>
          <w:lang w:val="en-US" w:eastAsia="zh-CN"/>
        </w:rPr>
        <w:t>认真观查伤员全身情况，防止伤情恶化</w:t>
      </w:r>
      <w:r>
        <w:rPr>
          <w:rFonts w:hint="eastAsia" w:asciiTheme="minorEastAsia" w:hAnsiTheme="minorEastAsia" w:eastAsiaTheme="minorEastAsia" w:cstheme="minorEastAsia"/>
          <w:b w:val="0"/>
          <w:bCs w:val="0"/>
          <w:sz w:val="24"/>
          <w:lang w:val="en-US" w:eastAsia="zh-CN"/>
        </w:rPr>
        <w:t>，</w:t>
      </w:r>
      <w:r>
        <w:rPr>
          <w:rFonts w:hint="default" w:asciiTheme="minorEastAsia" w:hAnsiTheme="minorEastAsia" w:eastAsiaTheme="minorEastAsia" w:cstheme="minorEastAsia"/>
          <w:b w:val="0"/>
          <w:bCs w:val="0"/>
          <w:sz w:val="24"/>
          <w:lang w:val="en-US" w:eastAsia="zh-CN"/>
        </w:rPr>
        <w:t>在现场</w:t>
      </w:r>
      <w:r>
        <w:rPr>
          <w:rFonts w:hint="eastAsia" w:asciiTheme="minorEastAsia" w:hAnsiTheme="minorEastAsia" w:eastAsiaTheme="minorEastAsia" w:cstheme="minorEastAsia"/>
          <w:b w:val="0"/>
          <w:bCs w:val="0"/>
          <w:sz w:val="24"/>
          <w:lang w:val="en-US" w:eastAsia="zh-CN"/>
        </w:rPr>
        <w:t>进行必要的</w:t>
      </w:r>
      <w:r>
        <w:rPr>
          <w:rFonts w:hint="default" w:asciiTheme="minorEastAsia" w:hAnsiTheme="minorEastAsia" w:eastAsiaTheme="minorEastAsia" w:cstheme="minorEastAsia"/>
          <w:b w:val="0"/>
          <w:bCs w:val="0"/>
          <w:sz w:val="24"/>
          <w:lang w:val="en-US" w:eastAsia="zh-CN"/>
        </w:rPr>
        <w:t>就地抢救。对伤员进行止血、包扎、转移搬运伤员、处理急救外伤等。</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w:t>
      </w:r>
      <w:r>
        <w:rPr>
          <w:rFonts w:hint="default" w:asciiTheme="minorEastAsia" w:hAnsiTheme="minorEastAsia" w:eastAsiaTheme="minorEastAsia" w:cstheme="minorEastAsia"/>
          <w:b w:val="0"/>
          <w:bCs w:val="0"/>
          <w:sz w:val="24"/>
          <w:lang w:val="en-US" w:eastAsia="zh-CN"/>
        </w:rPr>
        <w:t>、</w:t>
      </w:r>
      <w:r>
        <w:rPr>
          <w:rFonts w:hint="eastAsia" w:asciiTheme="minorEastAsia" w:hAnsiTheme="minorEastAsia" w:eastAsiaTheme="minorEastAsia" w:cstheme="minorEastAsia"/>
          <w:b w:val="0"/>
          <w:bCs w:val="0"/>
          <w:sz w:val="24"/>
          <w:lang w:val="en-US" w:eastAsia="zh-CN"/>
        </w:rPr>
        <w:t>现场负责人第一时间拨打医疗救援电话120、高速交警救援电话12122请求专业救护，并告知伤者伤情、事发具体位置等信息同时</w:t>
      </w:r>
      <w:r>
        <w:rPr>
          <w:rFonts w:hint="default" w:asciiTheme="minorEastAsia" w:hAnsiTheme="minorEastAsia" w:eastAsiaTheme="minorEastAsia" w:cstheme="minorEastAsia"/>
          <w:b w:val="0"/>
          <w:bCs w:val="0"/>
          <w:sz w:val="24"/>
          <w:lang w:val="en-US" w:eastAsia="zh-CN"/>
        </w:rPr>
        <w:t>向</w:t>
      </w:r>
      <w:r>
        <w:rPr>
          <w:rFonts w:hint="eastAsia" w:asciiTheme="minorEastAsia" w:hAnsiTheme="minorEastAsia" w:eastAsiaTheme="minorEastAsia" w:cstheme="minorEastAsia"/>
          <w:b w:val="0"/>
          <w:bCs w:val="0"/>
          <w:sz w:val="24"/>
          <w:lang w:val="en-US" w:eastAsia="zh-CN"/>
        </w:rPr>
        <w:t>应急领导小组</w:t>
      </w:r>
      <w:r>
        <w:rPr>
          <w:rFonts w:hint="default" w:asciiTheme="minorEastAsia" w:hAnsiTheme="minorEastAsia" w:eastAsiaTheme="minorEastAsia" w:cstheme="minorEastAsia"/>
          <w:b w:val="0"/>
          <w:bCs w:val="0"/>
          <w:sz w:val="24"/>
          <w:lang w:val="en-US" w:eastAsia="zh-CN"/>
        </w:rPr>
        <w:t>汇报；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w:t>
      </w:r>
      <w:r>
        <w:rPr>
          <w:rFonts w:hint="default" w:asciiTheme="minorEastAsia" w:hAnsiTheme="minorEastAsia" w:eastAsiaTheme="minorEastAsia" w:cstheme="minorEastAsia"/>
          <w:b w:val="0"/>
          <w:bCs w:val="0"/>
          <w:sz w:val="24"/>
          <w:lang w:val="en-US" w:eastAsia="zh-CN"/>
        </w:rPr>
        <w:t>、停止他人及伤者工作，保护事故现场，防止他人进入；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w:t>
      </w:r>
      <w:r>
        <w:rPr>
          <w:rFonts w:hint="default" w:asciiTheme="minorEastAsia" w:hAnsiTheme="minorEastAsia" w:eastAsiaTheme="minorEastAsia" w:cstheme="minorEastAsia"/>
          <w:b w:val="0"/>
          <w:bCs w:val="0"/>
          <w:sz w:val="24"/>
          <w:lang w:val="en-US" w:eastAsia="zh-CN"/>
        </w:rPr>
        <w:t>、</w:t>
      </w:r>
      <w:r>
        <w:rPr>
          <w:rFonts w:hint="eastAsia" w:asciiTheme="minorEastAsia" w:hAnsiTheme="minorEastAsia" w:eastAsiaTheme="minorEastAsia" w:cstheme="minorEastAsia"/>
          <w:b w:val="0"/>
          <w:bCs w:val="0"/>
          <w:sz w:val="24"/>
          <w:lang w:val="en-US" w:eastAsia="zh-CN"/>
        </w:rPr>
        <w:t>好交通疏导工作，为救援车辆提供必要的支持和协助，方便急救车辆进出；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e、应急领导小组</w:t>
      </w:r>
      <w:r>
        <w:rPr>
          <w:rFonts w:hint="default" w:asciiTheme="minorEastAsia" w:hAnsiTheme="minorEastAsia" w:eastAsiaTheme="minorEastAsia" w:cstheme="minorEastAsia"/>
          <w:b w:val="0"/>
          <w:bCs w:val="0"/>
          <w:sz w:val="24"/>
          <w:lang w:val="en-US" w:eastAsia="zh-CN"/>
        </w:rPr>
        <w:t>在接到事故现场有关人员报告后，必须立即奔赴事故现场</w:t>
      </w:r>
      <w:r>
        <w:rPr>
          <w:rFonts w:hint="eastAsia" w:asciiTheme="minorEastAsia" w:hAnsiTheme="minorEastAsia" w:eastAsiaTheme="minorEastAsia" w:cstheme="minorEastAsia"/>
          <w:b w:val="0"/>
          <w:bCs w:val="0"/>
          <w:sz w:val="24"/>
          <w:lang w:val="en-US" w:eastAsia="zh-CN"/>
        </w:rPr>
        <w:t>同时指挥现场人员进行</w:t>
      </w:r>
      <w:r>
        <w:rPr>
          <w:rFonts w:hint="default" w:asciiTheme="minorEastAsia" w:hAnsiTheme="minorEastAsia" w:eastAsiaTheme="minorEastAsia" w:cstheme="minorEastAsia"/>
          <w:b w:val="0"/>
          <w:bCs w:val="0"/>
          <w:sz w:val="24"/>
          <w:lang w:val="en-US" w:eastAsia="zh-CN"/>
        </w:rPr>
        <w:t>抢救</w:t>
      </w:r>
      <w:r>
        <w:rPr>
          <w:rFonts w:hint="eastAsia" w:asciiTheme="minorEastAsia" w:hAnsiTheme="minorEastAsia" w:eastAsiaTheme="minorEastAsia" w:cstheme="minorEastAsia"/>
          <w:b w:val="0"/>
          <w:bCs w:val="0"/>
          <w:sz w:val="24"/>
          <w:lang w:val="en-US" w:eastAsia="zh-CN"/>
        </w:rPr>
        <w:t>、</w:t>
      </w:r>
      <w:r>
        <w:rPr>
          <w:rFonts w:hint="default" w:asciiTheme="minorEastAsia" w:hAnsiTheme="minorEastAsia" w:eastAsiaTheme="minorEastAsia" w:cstheme="minorEastAsia"/>
          <w:b w:val="0"/>
          <w:bCs w:val="0"/>
          <w:sz w:val="24"/>
          <w:lang w:val="en-US" w:eastAsia="zh-CN"/>
        </w:rPr>
        <w:t>做好现场保卫工作，保护好现场并负责调查事故</w:t>
      </w:r>
      <w:r>
        <w:rPr>
          <w:rFonts w:hint="eastAsia" w:asciiTheme="minorEastAsia" w:hAnsiTheme="minorEastAsia" w:eastAsiaTheme="minorEastAsia" w:cstheme="minorEastAsia"/>
          <w:b w:val="0"/>
          <w:bCs w:val="0"/>
          <w:sz w:val="24"/>
          <w:lang w:val="en-US" w:eastAsia="zh-CN"/>
        </w:rPr>
        <w:t>，</w:t>
      </w:r>
      <w:r>
        <w:rPr>
          <w:rFonts w:hint="default" w:asciiTheme="minorEastAsia" w:hAnsiTheme="minorEastAsia" w:eastAsiaTheme="minorEastAsia" w:cstheme="minorEastAsia"/>
          <w:b w:val="0"/>
          <w:bCs w:val="0"/>
          <w:sz w:val="24"/>
          <w:lang w:val="en-US" w:eastAsia="zh-CN"/>
        </w:rPr>
        <w:t>现场采取积极措施保护伤员生命，减轻伤情，减少痛苦。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4、应急状态结束以后，对事故进行调查和处理等善后工作，同时总结经验和教训，做好以后的预防工作。</w:t>
      </w:r>
    </w:p>
    <w:p>
      <w:pPr>
        <w:pStyle w:val="8"/>
        <w:bidi w:val="0"/>
        <w:ind w:firstLine="482" w:firstLineChars="200"/>
        <w:rPr>
          <w:rFonts w:hint="eastAsia"/>
          <w:lang w:val="en-US" w:eastAsia="zh-CN"/>
        </w:rPr>
      </w:pPr>
      <w:bookmarkStart w:id="2112" w:name="_Toc5237"/>
      <w:bookmarkStart w:id="2113" w:name="_Toc25512"/>
      <w:bookmarkStart w:id="2114" w:name="_Toc26757"/>
      <w:r>
        <w:rPr>
          <w:rFonts w:hint="eastAsia" w:ascii="宋体" w:hAnsi="宋体" w:eastAsia="宋体" w:cs="宋体"/>
          <w:sz w:val="24"/>
          <w:szCs w:val="24"/>
          <w:lang w:val="en-US" w:eastAsia="zh-CN"/>
        </w:rPr>
        <w:t>6.4环境保护保证体系及保证措施</w:t>
      </w:r>
      <w:bookmarkEnd w:id="2112"/>
      <w:bookmarkEnd w:id="2113"/>
      <w:bookmarkEnd w:id="2114"/>
    </w:p>
    <w:p>
      <w:pPr>
        <w:pStyle w:val="9"/>
        <w:bidi w:val="0"/>
        <w:ind w:firstLine="482" w:firstLineChars="200"/>
        <w:rPr>
          <w:rFonts w:hint="eastAsia" w:ascii="宋体" w:hAnsi="宋体" w:eastAsia="宋体" w:cs="宋体"/>
          <w:sz w:val="24"/>
          <w:szCs w:val="24"/>
          <w:lang w:val="en-US" w:eastAsia="zh-CN"/>
        </w:rPr>
      </w:pPr>
      <w:bookmarkStart w:id="2115" w:name="_Toc17408"/>
      <w:bookmarkStart w:id="2116" w:name="_Toc21663"/>
      <w:bookmarkStart w:id="2117" w:name="_Toc4869"/>
      <w:r>
        <w:rPr>
          <w:rFonts w:hint="eastAsia" w:ascii="宋体" w:hAnsi="宋体" w:eastAsia="宋体" w:cs="宋体"/>
          <w:sz w:val="24"/>
          <w:szCs w:val="24"/>
          <w:lang w:val="en-US" w:eastAsia="zh-CN"/>
        </w:rPr>
        <w:t>6.4.1环境保护目标</w:t>
      </w:r>
      <w:bookmarkEnd w:id="2115"/>
      <w:bookmarkEnd w:id="2116"/>
      <w:bookmarkEnd w:id="211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kern w:val="0"/>
          <w:sz w:val="24"/>
          <w:szCs w:val="24"/>
          <w:lang w:val="en-US" w:eastAsia="zh-CN"/>
        </w:rPr>
        <w:t>遵守国家环境保护部门有关规定，落实河北省大气办和环保督察组要求，</w:t>
      </w:r>
      <w:r>
        <w:rPr>
          <w:rFonts w:hint="eastAsia" w:asciiTheme="minorEastAsia" w:hAnsiTheme="minorEastAsia" w:cstheme="minorEastAsia"/>
          <w:kern w:val="0"/>
          <w:sz w:val="24"/>
          <w:szCs w:val="24"/>
          <w:lang w:val="en-US" w:eastAsia="zh-CN"/>
        </w:rPr>
        <w:t>杜绝</w:t>
      </w:r>
      <w:r>
        <w:rPr>
          <w:rFonts w:hint="eastAsia" w:asciiTheme="minorEastAsia" w:hAnsiTheme="minorEastAsia" w:eastAsiaTheme="minorEastAsia" w:cstheme="minorEastAsia"/>
          <w:kern w:val="0"/>
          <w:sz w:val="24"/>
          <w:szCs w:val="24"/>
          <w:lang w:val="en-US" w:eastAsia="zh-CN"/>
        </w:rPr>
        <w:t>环境督导事件发生。</w:t>
      </w:r>
    </w:p>
    <w:p>
      <w:pPr>
        <w:pStyle w:val="9"/>
        <w:bidi w:val="0"/>
        <w:ind w:firstLine="482" w:firstLineChars="200"/>
        <w:rPr>
          <w:rFonts w:hint="eastAsia"/>
          <w:lang w:val="en-US" w:eastAsia="zh-CN"/>
        </w:rPr>
      </w:pPr>
      <w:bookmarkStart w:id="2118" w:name="_Toc18816"/>
      <w:bookmarkStart w:id="2119" w:name="_Toc18680"/>
      <w:bookmarkStart w:id="2120" w:name="_Toc17937"/>
      <w:r>
        <w:rPr>
          <w:rFonts w:hint="eastAsia" w:ascii="宋体" w:hAnsi="宋体" w:eastAsia="宋体" w:cs="宋体"/>
          <w:sz w:val="24"/>
          <w:szCs w:val="24"/>
          <w:lang w:val="en-US" w:eastAsia="zh-CN"/>
        </w:rPr>
        <w:t>6.4.2设计环保要求</w:t>
      </w:r>
      <w:bookmarkEnd w:id="2118"/>
      <w:bookmarkEnd w:id="2119"/>
      <w:bookmarkEnd w:id="212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为保护环境，施工时应严格按照招标文件关于环境保护的要求做好环保工作。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（1）承包人在工程施工中，应严格遵守国家环境保护部门的有关规定承包人有责任采取有效措施以预防和消除因施工造成的环境污染，对工程范围以外的土地及植被应注意保护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（2）承包人应在施工期间加强环保意识、保持工地清洁、控制扬尘、杜绝漏洒材料。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（3）承包人应通过有效的技术手段和管理措施将施工噪声控制到最低程度，承包人不得在夜间安排噪声很大（55dB以上）的机械施工。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（4）承包人应将施工及生活中产生的废弃物及时处理，应注意避免阻塞河流或泄洪系统和污染水源。</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（5）承包人在施工过程中， 由于扬尘、排污、噪声、材料漏失等原因对周围居民和环境造成的损失应自负后果。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（6）施工作业产生的灰尘，除在场地的作业人员配备必要专用劳保用品外，还应随时进行洒水以使灰尘公害减至最小程度。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①易于引起粉尘的细料或散料应予遮盖或适当酒水运输时应用帆布、盖套及类似物品遮盖。</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②如果承包人预防措施不力，并已对邻近的水流、池塘、农田或卫生环境造成了危害，则由此而引起的一切损失及后果，应由承包人负责。</w:t>
      </w:r>
    </w:p>
    <w:p>
      <w:pPr>
        <w:pStyle w:val="9"/>
        <w:bidi w:val="0"/>
        <w:ind w:firstLine="482" w:firstLineChars="200"/>
        <w:rPr>
          <w:rFonts w:hint="eastAsia" w:ascii="宋体" w:hAnsi="宋体" w:eastAsia="宋体" w:cs="宋体"/>
          <w:sz w:val="24"/>
          <w:szCs w:val="24"/>
          <w:lang w:val="en-US" w:eastAsia="zh-CN"/>
        </w:rPr>
      </w:pPr>
      <w:bookmarkStart w:id="2121" w:name="_Toc17819"/>
      <w:bookmarkStart w:id="2122" w:name="_Toc2151"/>
      <w:bookmarkStart w:id="2123" w:name="_Toc23195"/>
      <w:r>
        <w:rPr>
          <w:rFonts w:hint="eastAsia" w:ascii="宋体" w:hAnsi="宋体" w:eastAsia="宋体" w:cs="宋体"/>
          <w:sz w:val="24"/>
          <w:szCs w:val="24"/>
          <w:lang w:val="en-US" w:eastAsia="zh-CN"/>
        </w:rPr>
        <w:t>6.4.3建立健全环境保护保证体系</w:t>
      </w:r>
      <w:bookmarkEnd w:id="2121"/>
      <w:bookmarkEnd w:id="2122"/>
      <w:bookmarkEnd w:id="21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工程施工全面推行品质管理，确保施工范围内生态环境、水环境、大气环境、噪声环境及固体废弃物处理符合国家和当地环保部门要求。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成立以项目经理为组长、安全总监为副组长、安全环保部为主要负责部门的环境保障体系。根据本标段地域的生态环境特点，依据有关法律、法规及建设单位环保有关规定，实行生态保障领导负责制。制定详细的环境保护措施（包括保护自然保护区、水土流失、水污染、野生动植物、维护生态平衡系统、维护土壤生物即避免土壤沙化，避免人为恶化环境等），从思想、组织、过程、检查、效果、目标、经 济七方面控制环保工作，实现总体环保目标。</w:t>
      </w:r>
    </w:p>
    <w:p>
      <w:pPr>
        <w:pStyle w:val="9"/>
        <w:bidi w:val="0"/>
        <w:ind w:firstLine="482" w:firstLineChars="200"/>
        <w:rPr>
          <w:rFonts w:hint="eastAsia" w:ascii="宋体" w:hAnsi="宋体" w:eastAsia="宋体" w:cs="宋体"/>
          <w:sz w:val="24"/>
          <w:szCs w:val="24"/>
          <w:lang w:val="en-US" w:eastAsia="zh-CN"/>
        </w:rPr>
      </w:pPr>
      <w:bookmarkStart w:id="2124" w:name="_Toc22288"/>
      <w:bookmarkStart w:id="2125" w:name="_Toc9803"/>
      <w:bookmarkStart w:id="2126" w:name="_Toc10584"/>
      <w:r>
        <w:rPr>
          <w:rFonts w:hint="eastAsia" w:ascii="宋体" w:hAnsi="宋体" w:eastAsia="宋体" w:cs="宋体"/>
          <w:sz w:val="24"/>
          <w:szCs w:val="24"/>
          <w:lang w:val="en-US" w:eastAsia="zh-CN"/>
        </w:rPr>
        <w:t>6.4.4环境保护管理制度</w:t>
      </w:r>
      <w:bookmarkEnd w:id="2124"/>
      <w:bookmarkEnd w:id="2125"/>
      <w:bookmarkEnd w:id="212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建设过程中，本公司将严格按照国家、地方政府、建设单位的规定和要求，建立环境保护管理制度，从组织上、制度上、经济上保证施工环保、水土保持、节能，满足国家规定和当地环保标准，落实环境保护责任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对全体员工进行环境保护法规的教育，分批组织人员学习。分段制定控制污染的具体的措施、要求和计划。项目部将环保工作业绩与安全、质量、进度等同等对待，同步检查，同步考核。所有环保工程与正式工程同时施工，同等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制定一系列的施工环保、水土保持、节能降耗标准化管理制度，主要有施工环境、水土保持规划制度、“三同时 ”制度、目标责任制、环境因素调查与评价制度、环境管理方案审查制度、节能降耗实施制度、施工现场环境监视和测量制度、环境检查与评价评估制度、环境保护、水土保持及节能工作考核制度。具体环保管理制度如下：</w:t>
      </w:r>
    </w:p>
    <w:p>
      <w:pPr>
        <w:pStyle w:val="11"/>
        <w:keepNext w:val="0"/>
        <w:keepLines w:val="0"/>
        <w:pageBreakBefore w:val="0"/>
        <w:widowControl/>
        <w:numPr>
          <w:ilvl w:val="0"/>
          <w:numId w:val="3"/>
        </w:numPr>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127" w:name="_Toc7038"/>
      <w:bookmarkStart w:id="2128" w:name="_Toc22831"/>
      <w:bookmarkStart w:id="2129" w:name="_Toc28352"/>
      <w:bookmarkStart w:id="2130" w:name="_Toc4154"/>
      <w:r>
        <w:rPr>
          <w:rFonts w:hint="eastAsia" w:asciiTheme="minorEastAsia" w:hAnsiTheme="minorEastAsia" w:eastAsiaTheme="minorEastAsia" w:cstheme="minorEastAsia"/>
          <w:b w:val="0"/>
          <w:bCs w:val="0"/>
          <w:sz w:val="24"/>
          <w:lang w:val="en-US" w:eastAsia="zh-CN"/>
        </w:rPr>
        <w:t>环境保护、水土保持及节能规划制度</w:t>
      </w:r>
      <w:bookmarkEnd w:id="2127"/>
      <w:bookmarkEnd w:id="2128"/>
      <w:bookmarkEnd w:id="2129"/>
      <w:bookmarkEnd w:id="213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（1）对施工区域的环境情况进行调查，根据国家、地方政府有关环保法律法规、规定，结合建设单位有关环保、水保管理办法，制定环境、水土保持、节能的具体安排及相应措施，确保环境保护、节能目标。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（2）在全线开展环境保护及水土保持的宣传教育工作。根据各种环境保护的规章制度和措施, 制定环境保护作业指导书、管理措施及奖罚办法。</w:t>
      </w:r>
    </w:p>
    <w:p>
      <w:pPr>
        <w:pStyle w:val="11"/>
        <w:keepNext w:val="0"/>
        <w:keepLines w:val="0"/>
        <w:pageBreakBefore w:val="0"/>
        <w:widowControl/>
        <w:numPr>
          <w:ilvl w:val="0"/>
          <w:numId w:val="3"/>
        </w:numPr>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131" w:name="_Toc14168"/>
      <w:bookmarkStart w:id="2132" w:name="_Toc11966"/>
      <w:bookmarkStart w:id="2133" w:name="_Toc5774"/>
      <w:bookmarkStart w:id="2134" w:name="_Toc5410"/>
      <w:r>
        <w:rPr>
          <w:rFonts w:hint="eastAsia" w:asciiTheme="minorEastAsia" w:hAnsiTheme="minorEastAsia" w:eastAsiaTheme="minorEastAsia" w:cstheme="minorEastAsia"/>
          <w:b w:val="0"/>
          <w:bCs w:val="0"/>
          <w:sz w:val="24"/>
          <w:lang w:val="en-US" w:eastAsia="zh-CN"/>
        </w:rPr>
        <w:t>环境保护、水土保持“三同时 ”制度</w:t>
      </w:r>
      <w:bookmarkEnd w:id="2131"/>
      <w:bookmarkEnd w:id="2132"/>
      <w:bookmarkEnd w:id="2133"/>
      <w:bookmarkEnd w:id="213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（1）环境保护、水土保持“三同时 ”制度， 即环境保护、水土保持设施与主体工程同时设计、同时实施、同时施工的制度。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（2）施工时，根据环保设施设计及施工方案 , 做好设计环保设施及临时工程的环保设施，保护好施工现场及驻地周围环境。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135" w:name="_Toc21936"/>
      <w:bookmarkStart w:id="2136" w:name="_Toc11026"/>
      <w:bookmarkStart w:id="2137" w:name="_Toc11005"/>
      <w:bookmarkStart w:id="2138" w:name="_Toc27274"/>
      <w:r>
        <w:rPr>
          <w:rFonts w:hint="eastAsia" w:asciiTheme="minorEastAsia" w:hAnsiTheme="minorEastAsia" w:eastAsiaTheme="minorEastAsia" w:cstheme="minorEastAsia"/>
          <w:b w:val="0"/>
          <w:bCs w:val="0"/>
          <w:sz w:val="24"/>
          <w:lang w:val="en-US" w:eastAsia="zh-CN"/>
        </w:rPr>
        <w:t>3、环境保护、水土 保持及节能目标责任制</w:t>
      </w:r>
      <w:bookmarkEnd w:id="2135"/>
      <w:bookmarkEnd w:id="2136"/>
      <w:bookmarkEnd w:id="2137"/>
      <w:bookmarkEnd w:id="213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（1）建立环境保护、水土保持及节能目标责任制，项目部负责环保目标责任书的制定、下达 、实施和考核工作，将环境保护工作与每个施工人员的责任、权利、利益有机结合，切实做到奖优罚劣。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（2）项目部与作业队、作业队与班组层层签订环保及节能责任状，责任状明确每人的环保权利、责任和义务，奖罚标准，从而建立起制度管 理、责任约束、任务到人、责任到人、至上到下的环境保护体系。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139" w:name="_Toc29285"/>
      <w:bookmarkStart w:id="2140" w:name="_Toc23388"/>
      <w:bookmarkStart w:id="2141" w:name="_Toc19822"/>
      <w:bookmarkStart w:id="2142" w:name="_Toc25334"/>
      <w:r>
        <w:rPr>
          <w:rFonts w:hint="eastAsia" w:asciiTheme="minorEastAsia" w:hAnsiTheme="minorEastAsia" w:eastAsiaTheme="minorEastAsia" w:cstheme="minorEastAsia"/>
          <w:b w:val="0"/>
          <w:bCs w:val="0"/>
          <w:sz w:val="24"/>
          <w:lang w:val="en-US" w:eastAsia="zh-CN"/>
        </w:rPr>
        <w:t>4、环境因素调查与评价制度</w:t>
      </w:r>
      <w:bookmarkEnd w:id="2139"/>
      <w:bookmarkEnd w:id="2140"/>
      <w:bookmarkEnd w:id="2141"/>
      <w:bookmarkEnd w:id="214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结合本项目工程特点，对施工环境因素进行识别，填写《环境因素调查表》对环境产生影响的施工机械设备、施工活动、污水、废弃物等，组织相关人员进行分析评价，并填写《环境因素评价表》，根据评价表的打分数值情况确定重大环境因素。</w:t>
      </w:r>
    </w:p>
    <w:p>
      <w:pPr>
        <w:pStyle w:val="11"/>
        <w:keepNext w:val="0"/>
        <w:keepLines w:val="0"/>
        <w:pageBreakBefore w:val="0"/>
        <w:widowControl/>
        <w:numPr>
          <w:ilvl w:val="0"/>
          <w:numId w:val="0"/>
        </w:numPr>
        <w:kinsoku/>
        <w:wordWrap/>
        <w:overflowPunct/>
        <w:topLinePunct w:val="0"/>
        <w:autoSpaceDE/>
        <w:autoSpaceDN/>
        <w:bidi w:val="0"/>
        <w:adjustRightInd/>
        <w:snapToGrid/>
        <w:spacing w:after="0" w:line="360" w:lineRule="auto"/>
        <w:ind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143" w:name="_Toc17451"/>
      <w:bookmarkStart w:id="2144" w:name="_Toc23703"/>
      <w:bookmarkStart w:id="2145" w:name="_Toc22745"/>
      <w:bookmarkStart w:id="2146" w:name="_Toc14012"/>
      <w:r>
        <w:rPr>
          <w:rFonts w:hint="eastAsia" w:asciiTheme="minorEastAsia" w:hAnsiTheme="minorEastAsia" w:eastAsiaTheme="minorEastAsia" w:cstheme="minorEastAsia"/>
          <w:b w:val="0"/>
          <w:bCs w:val="0"/>
          <w:sz w:val="24"/>
          <w:lang w:val="en-US" w:eastAsia="zh-CN"/>
        </w:rPr>
        <w:t>5、环境管理方案审查制度</w:t>
      </w:r>
      <w:bookmarkEnd w:id="2143"/>
      <w:bookmarkEnd w:id="2144"/>
      <w:bookmarkEnd w:id="2145"/>
      <w:bookmarkEnd w:id="214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（1）项目部针对本项目《重大环境因素》， 要组织编制《工程项目环境管理方案》，并经项目经理批准后执行。环境管理方案的制定是围绕 施工现场环境目标和指导及确定的重大环境因素 来制定的。 目的是达到环境目标和指标要求，且 重大环境因素得到控制，不会发生重大环境污染事件或事故。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（2）《工程项目环境管理方案》在实施过程中，应进行阶段性检查评估，发现问题及时纠正,必要时应修改方案。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147" w:name="_Toc23088"/>
      <w:bookmarkStart w:id="2148" w:name="_Toc4909"/>
      <w:bookmarkStart w:id="2149" w:name="_Toc1634"/>
      <w:bookmarkStart w:id="2150" w:name="_Toc2754"/>
      <w:r>
        <w:rPr>
          <w:rFonts w:hint="eastAsia" w:asciiTheme="minorEastAsia" w:hAnsiTheme="minorEastAsia" w:eastAsiaTheme="minorEastAsia" w:cstheme="minorEastAsia"/>
          <w:b w:val="0"/>
          <w:bCs w:val="0"/>
          <w:sz w:val="24"/>
          <w:lang w:val="en-US" w:eastAsia="zh-CN"/>
        </w:rPr>
        <w:t>6、施工现场环境监视和测量制度</w:t>
      </w:r>
      <w:bookmarkEnd w:id="2147"/>
      <w:bookmarkEnd w:id="2148"/>
      <w:bookmarkEnd w:id="2149"/>
      <w:bookmarkEnd w:id="215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（1）项目部要根据实际情况，确定所要监测环境因素的监测点、监测项目、监测频次、检测 方法，并形成文字记录。具体监测环境因素包含以下几方面内容：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（2）对污染物（污染物包括污水、废水、噪音、扬尘、瓦斯等）排放的测量。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（3）固体废弃物分类存放要求执行情况。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（4）消防设施的检查情况。</w:t>
      </w:r>
    </w:p>
    <w:p>
      <w:pPr>
        <w:pStyle w:val="12"/>
        <w:ind w:firstLine="480" w:firstLineChars="200"/>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（5）对环境管理方案的执行情况实施监控。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151" w:name="_Toc28909"/>
      <w:bookmarkStart w:id="2152" w:name="_Toc15477"/>
      <w:bookmarkStart w:id="2153" w:name="_Toc26247"/>
      <w:bookmarkStart w:id="2154" w:name="_Toc27611"/>
      <w:r>
        <w:rPr>
          <w:rFonts w:hint="eastAsia" w:asciiTheme="minorEastAsia" w:hAnsiTheme="minorEastAsia" w:eastAsiaTheme="minorEastAsia" w:cstheme="minorEastAsia"/>
          <w:b w:val="0"/>
          <w:bCs w:val="0"/>
          <w:sz w:val="24"/>
          <w:lang w:val="en-US" w:eastAsia="zh-CN"/>
        </w:rPr>
        <w:t>7、环境检查与评估制度</w:t>
      </w:r>
      <w:bookmarkEnd w:id="2151"/>
      <w:bookmarkEnd w:id="2152"/>
      <w:bookmarkEnd w:id="2153"/>
      <w:bookmarkEnd w:id="215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（1）领导小组组长负责组织审批重要环境因素和重大风险因素。工程管理部负责组织环境和 风险因素的识别、登记、评价工作，确定重大环境和风险因素。</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（2）工程管理部根据现场调查及工程实际，确定本工程环境因素，结合法律法规和相关要求, 组织有关人员对所识别的环境因素进行评价。对重要环境因素，必要时请当地环保部门参与。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155" w:name="_Toc31159"/>
      <w:bookmarkStart w:id="2156" w:name="_Toc1941"/>
      <w:bookmarkStart w:id="2157" w:name="_Toc5147"/>
      <w:bookmarkStart w:id="2158" w:name="_Toc21830"/>
      <w:r>
        <w:rPr>
          <w:rFonts w:hint="eastAsia" w:asciiTheme="minorEastAsia" w:hAnsiTheme="minorEastAsia" w:eastAsiaTheme="minorEastAsia" w:cstheme="minorEastAsia"/>
          <w:b w:val="0"/>
          <w:bCs w:val="0"/>
          <w:sz w:val="24"/>
          <w:lang w:val="en-US" w:eastAsia="zh-CN"/>
        </w:rPr>
        <w:t>8、环境保护、水土 保持节能工作考核制度</w:t>
      </w:r>
      <w:bookmarkEnd w:id="2155"/>
      <w:bookmarkEnd w:id="2156"/>
      <w:bookmarkEnd w:id="2157"/>
      <w:bookmarkEnd w:id="215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（1）为保护生态环境及自然环境，依据国家有关法律法规及建设单位具体要求，确保《施工 现场环境保护、水土保持及节能有关规定》及《 环水保及节能实施细则》等规定的实施，项目部制定奖罚细则（制度）对相关工作进行明确，对保护环境、水土保持有贡献者大力褒奖，对破坏者严惩不怠。</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主要遵循原则：环水保工作及节能实行重奖重罚，末位淘汰，年终评先环水保一票否决。对环水保及节能工作中做出突出成绩的单位和个人进行表彰和奖励；对环水保及节能工作不达标的单位进行通报批评，并给予相应的经济处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0"/>
        <w:rPr>
          <w:rFonts w:hint="eastAsia" w:asciiTheme="minorEastAsia" w:hAnsiTheme="minorEastAsia" w:eastAsiaTheme="minorEastAsia" w:cstheme="minorEastAsia"/>
          <w:b w:val="0"/>
          <w:bCs w:val="0"/>
          <w:sz w:val="24"/>
          <w:lang w:val="en-US" w:eastAsia="zh-CN"/>
        </w:rPr>
      </w:pPr>
      <w:bookmarkStart w:id="2159" w:name="_Toc22164"/>
      <w:bookmarkStart w:id="2160" w:name="_Toc9401"/>
      <w:bookmarkStart w:id="2161" w:name="_Toc4312"/>
      <w:bookmarkStart w:id="2162" w:name="_Toc15285"/>
      <w:r>
        <w:rPr>
          <w:rFonts w:hint="eastAsia" w:asciiTheme="minorEastAsia" w:hAnsiTheme="minorEastAsia" w:eastAsiaTheme="minorEastAsia" w:cstheme="minorEastAsia"/>
          <w:b w:val="0"/>
          <w:bCs w:val="0"/>
          <w:sz w:val="24"/>
          <w:lang w:val="en-US" w:eastAsia="zh-CN"/>
        </w:rPr>
        <w:t>9、宣传、教育、培训制度</w:t>
      </w:r>
      <w:bookmarkEnd w:id="2159"/>
      <w:bookmarkEnd w:id="2160"/>
      <w:bookmarkEnd w:id="2161"/>
      <w:bookmarkEnd w:id="216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（1）开展形式多样的宣传教育活动，将环保及节能工作纳入各单位的创优达标综合考核项目中，使环保工作深入人心。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（2）在施工现场和生活区，设置环保宣传栏和标志牌，从日常生活做起，使所有参建员工把环境保护变为一种自觉行为。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（3）印发环保教育手册，做到施工人员人手一册，增强全体员工“环境保护，人人有责 ”的意识和历史责任感。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（4）组织环保专职人员的岗前培训，聘请有关环保及节能专家对施工人员进行讲课。</w:t>
      </w:r>
    </w:p>
    <w:p>
      <w:pPr>
        <w:pStyle w:val="9"/>
        <w:bidi w:val="0"/>
        <w:ind w:firstLine="482" w:firstLineChars="200"/>
        <w:rPr>
          <w:rFonts w:hint="eastAsia"/>
          <w:lang w:val="en-US" w:eastAsia="zh-CN"/>
        </w:rPr>
      </w:pPr>
      <w:bookmarkStart w:id="2163" w:name="_Toc9575"/>
      <w:bookmarkStart w:id="2164" w:name="_Toc23708"/>
      <w:bookmarkStart w:id="2165" w:name="_Toc16418"/>
      <w:r>
        <w:rPr>
          <w:rFonts w:hint="eastAsia" w:ascii="宋体" w:hAnsi="宋体" w:eastAsia="宋体" w:cs="宋体"/>
          <w:sz w:val="24"/>
          <w:szCs w:val="24"/>
          <w:lang w:val="en-US" w:eastAsia="zh-CN"/>
        </w:rPr>
        <w:t>6.4.5  环境保护具体措施</w:t>
      </w:r>
      <w:bookmarkEnd w:id="2163"/>
      <w:bookmarkEnd w:id="2164"/>
      <w:bookmarkEnd w:id="216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1）建立“三级 ”检查落实制度，即领导层抓全面，管理层抓重点,实施层抓具体落实。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2）内部签订“环保责任制 ”，运用行政和经济手段，加强环保工作的落实。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3）实行“环保否决制 ”，即施工作业活动不符合环保要求的项目不得开工，具有强制否决权。严格落实“无条件服从制 ”，即无条件地接受环境保护监测单位的指导和监督，无条件遵守建设单位与环保部门签订的环保协议条款。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outlineLvl w:val="2"/>
        <w:rPr>
          <w:rFonts w:hint="eastAsia" w:asciiTheme="minorEastAsia" w:hAnsiTheme="minorEastAsia" w:eastAsiaTheme="minorEastAsia" w:cstheme="minorEastAsia"/>
          <w:b w:val="0"/>
          <w:bCs w:val="0"/>
          <w:sz w:val="24"/>
          <w:lang w:val="en-US" w:eastAsia="zh-CN"/>
        </w:rPr>
      </w:pPr>
      <w:bookmarkStart w:id="2166" w:name="_Toc26478"/>
      <w:bookmarkStart w:id="2167" w:name="_Toc14775"/>
      <w:bookmarkStart w:id="2168" w:name="_Toc24560"/>
      <w:bookmarkStart w:id="2169" w:name="_Toc9838"/>
      <w:r>
        <w:rPr>
          <w:rFonts w:hint="eastAsia" w:asciiTheme="minorEastAsia" w:hAnsiTheme="minorEastAsia" w:eastAsiaTheme="minorEastAsia" w:cstheme="minorEastAsia"/>
          <w:b w:val="0"/>
          <w:bCs w:val="0"/>
          <w:sz w:val="24"/>
          <w:lang w:val="en-US" w:eastAsia="zh-CN"/>
        </w:rPr>
        <w:t>4）施工中建立以下检查制度：</w:t>
      </w:r>
      <w:bookmarkEnd w:id="2166"/>
      <w:bookmarkEnd w:id="2167"/>
      <w:bookmarkEnd w:id="2168"/>
      <w:bookmarkEnd w:id="216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（1）生活区环保检查制度；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（2）水土保持制度；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（3）生态环境保护和检查制度。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（5）向有关部门和当地政府环保部门、环保专家征求意见及时制整改措施，制定明确的奖惩制度和健全的机制，做到环境保护人人有责把环境保护工作真正落到实处。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pPr>
      <w:r>
        <w:rPr>
          <w:rFonts w:hint="eastAsia" w:asciiTheme="minorEastAsia" w:hAnsiTheme="minorEastAsia" w:eastAsiaTheme="minorEastAsia" w:cstheme="minorEastAsia"/>
          <w:b w:val="0"/>
          <w:bCs w:val="0"/>
          <w:sz w:val="24"/>
          <w:lang w:val="en-US" w:eastAsia="zh-CN"/>
        </w:rPr>
        <w:t>（6）定期进行环保检查，及时处理违章事宜，经常向建设单位有关部门和当地政府、环保部门、环保专家征求意见，及时制定整改措施。</w:t>
      </w:r>
    </w:p>
    <w:p>
      <w:pPr>
        <w:numPr>
          <w:ilvl w:val="0"/>
          <w:numId w:val="0"/>
        </w:numPr>
        <w:spacing w:before="91" w:line="222" w:lineRule="auto"/>
        <w:ind w:firstLine="556" w:firstLineChars="200"/>
        <w:rPr>
          <w:rFonts w:hint="eastAsia" w:ascii="仿宋" w:hAnsi="仿宋" w:eastAsia="仿宋" w:cs="仿宋"/>
          <w:spacing w:val="-1"/>
          <w:sz w:val="28"/>
          <w:szCs w:val="28"/>
          <w:lang w:val="en-US" w:eastAsia="zh-CN"/>
        </w:rPr>
      </w:pPr>
    </w:p>
    <w:sectPr>
      <w:footerReference r:id="rId9" w:type="default"/>
      <w:pgSz w:w="11905" w:h="16838"/>
      <w:pgMar w:top="1417" w:right="1531" w:bottom="1417" w:left="1531" w:header="992" w:footer="992" w:gutter="0"/>
      <w:pgBorders>
        <w:top w:val="none" w:sz="0" w:space="0"/>
        <w:left w:val="none" w:sz="0" w:space="0"/>
        <w:bottom w:val="none" w:sz="0" w:space="0"/>
        <w:right w:val="none" w:sz="0" w:space="0"/>
      </w:pgBorders>
      <w:pgNumType w:fmt="decimal" w:start="1"/>
      <w:cols w:space="0" w:num="1"/>
      <w:rtlGutter w:val="0"/>
      <w:docGrid w:type="lines" w:linePitch="31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decorative"/>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F1DAA95C-3047-4DC9-984B-4507A87B4653}"/>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2" w:fontKey="{DE694422-F69D-4124-B095-77A584A2E870}"/>
  </w:font>
  <w:font w:name="仿宋_GB2312">
    <w:altName w:val="仿宋"/>
    <w:panose1 w:val="00000000000000000000"/>
    <w:charset w:val="86"/>
    <w:family w:val="modern"/>
    <w:pitch w:val="default"/>
    <w:sig w:usb0="00000000" w:usb1="00000000" w:usb2="00000010" w:usb3="00000000" w:csb0="00040000" w:csb1="00000000"/>
    <w:embedRegular r:id="rId3" w:fontKey="{41F1649F-5787-4126-8C2A-8021F470A1F4}"/>
  </w:font>
  <w:font w:name="楷体_GB2312">
    <w:altName w:val="楷体"/>
    <w:panose1 w:val="00000000000000000000"/>
    <w:charset w:val="86"/>
    <w:family w:val="modern"/>
    <w:pitch w:val="default"/>
    <w:sig w:usb0="00000000" w:usb1="00000000" w:usb2="00000010" w:usb3="00000000" w:csb0="00040000" w:csb1="00000000"/>
  </w:font>
  <w:font w:name="方正仿宋_GB2312">
    <w:panose1 w:val="02000000000000000000"/>
    <w:charset w:val="86"/>
    <w:family w:val="auto"/>
    <w:pitch w:val="default"/>
    <w:sig w:usb0="A00002BF" w:usb1="184F6CFA" w:usb2="00000012" w:usb3="00000000" w:csb0="00040001" w:csb1="00000000"/>
    <w:embedRegular r:id="rId4" w:fontKey="{FF6112FD-8E62-4EAB-8A3D-C0348F2A327A}"/>
  </w:font>
  <w:font w:name="方正仿宋_GBK">
    <w:panose1 w:val="02000000000000000000"/>
    <w:charset w:val="86"/>
    <w:family w:val="auto"/>
    <w:pitch w:val="default"/>
    <w:sig w:usb0="A00002BF" w:usb1="38CF7CFA" w:usb2="00082016" w:usb3="00000000" w:csb0="00040001" w:csb1="00000000"/>
    <w:embedRegular r:id="rId5" w:fontKey="{943376E2-932E-4F6E-A054-5F99C73E315B}"/>
  </w:font>
  <w:font w:name="仿宋">
    <w:panose1 w:val="02010609060101010101"/>
    <w:charset w:val="86"/>
    <w:family w:val="auto"/>
    <w:pitch w:val="default"/>
    <w:sig w:usb0="800002BF" w:usb1="38CF7CFA" w:usb2="00000016" w:usb3="00000000" w:csb0="00040001" w:csb1="00000000"/>
    <w:embedRegular r:id="rId6" w:fontKey="{CAF24278-C146-4FEE-917A-2FE6D84DC1E9}"/>
  </w:font>
  <w:font w:name="Tahoma">
    <w:panose1 w:val="020B0604030504040204"/>
    <w:charset w:val="00"/>
    <w:family w:val="swiss"/>
    <w:pitch w:val="default"/>
    <w:sig w:usb0="E1002EFF" w:usb1="C000605B" w:usb2="00000029" w:usb3="00000000" w:csb0="200101FF" w:csb1="20280000"/>
    <w:embedRegular r:id="rId7" w:fontKey="{BACCF398-C30E-4E89-AA38-C83EB71FF81C}"/>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rPr>
        <w:rFonts w:hint="default"/>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rPr>
        <w:rFonts w:hint="default"/>
        <w:lang w:val="en-US"/>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qSjhE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qSjhEzAgAAYwQAAA4AAAAAAAAAAQAgAAAAHwEAAGRycy9lMm9Eb2MueG1sUEsF&#10;BgAAAAAGAAYAWQEAAMQFAAAAAA==&#10;">
              <v:fill on="f" focussize="0,0"/>
              <v:stroke on="f" weight="0.5pt"/>
              <v:imagedata o:title=""/>
              <o:lock v:ext="edit" aspectratio="f"/>
              <v:textbox inset="0mm,0mm,0mm,0mm" style="mso-fit-shape-to-text:t;">
                <w:txbxContent>
                  <w:p>
                    <w:pPr>
                      <w:pStyle w:val="14"/>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widowControl w:val="0"/>
      <w:pBdr>
        <w:top w:val="none" w:color="auto" w:sz="0" w:space="1"/>
        <w:left w:val="none" w:color="auto" w:sz="0" w:space="4"/>
        <w:bottom w:val="single" w:color="auto" w:sz="8" w:space="1"/>
        <w:right w:val="none" w:color="auto" w:sz="0" w:space="4"/>
        <w:between w:val="none" w:color="auto" w:sz="0" w:space="0"/>
      </w:pBdr>
      <w:snapToGrid w:val="0"/>
      <w:spacing w:line="240" w:lineRule="auto"/>
      <w:jc w:val="center"/>
      <w:outlineLvl w:val="9"/>
      <w:rPr>
        <w:rFonts w:hint="default" w:ascii="宋体" w:hAnsi="宋体" w:cs="宋体" w:eastAsiaTheme="minorEastAsia"/>
        <w:b/>
        <w:bCs/>
        <w:sz w:val="21"/>
        <w:szCs w:val="21"/>
        <w:lang w:val="en-US" w:eastAsia="zh-CN"/>
      </w:rPr>
    </w:pPr>
    <w:r>
      <w:rPr>
        <w:rFonts w:hint="default"/>
        <w:sz w:val="21"/>
        <w:lang w:val="en-US"/>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olJw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8olJwzAgAAYwQAAA4AAAAAAAAAAQAgAAAAHwEAAGRycy9lMm9Eb2MueG1sUEsF&#10;BgAAAAAGAAYAWQEAAMQFAAAAAA==&#10;">
              <v:fill on="f" focussize="0,0"/>
              <v:stroke on="f" weight="0.5pt"/>
              <v:imagedata o:title=""/>
              <o:lock v:ext="edit" aspectratio="f"/>
              <v:textbox inset="0mm,0mm,0mm,0mm" style="mso-fit-shape-to-text:t;">
                <w:txbxContent>
                  <w:p>
                    <w:pPr>
                      <w:pStyle w:val="15"/>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sz w:val="21"/>
        <w:lang w:val="en-US" w:eastAsia="zh-CN"/>
      </w:rPr>
      <w:t>保阜高速公路2023年边坡病害治理工程施工组织设计</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E32C516"/>
    <w:multiLevelType w:val="singleLevel"/>
    <w:tmpl w:val="EE32C516"/>
    <w:lvl w:ilvl="0" w:tentative="0">
      <w:start w:val="1"/>
      <w:numFmt w:val="decimal"/>
      <w:suff w:val="nothing"/>
      <w:lvlText w:val="%1、"/>
      <w:lvlJc w:val="left"/>
    </w:lvl>
  </w:abstractNum>
  <w:abstractNum w:abstractNumId="1">
    <w:nsid w:val="3F1C730B"/>
    <w:multiLevelType w:val="singleLevel"/>
    <w:tmpl w:val="3F1C730B"/>
    <w:lvl w:ilvl="0" w:tentative="0">
      <w:start w:val="3"/>
      <w:numFmt w:val="decimal"/>
      <w:suff w:val="nothing"/>
      <w:lvlText w:val="%1、"/>
      <w:lvlJc w:val="left"/>
    </w:lvl>
  </w:abstractNum>
  <w:abstractNum w:abstractNumId="2">
    <w:nsid w:val="6DFD2A49"/>
    <w:multiLevelType w:val="singleLevel"/>
    <w:tmpl w:val="6DFD2A49"/>
    <w:lvl w:ilvl="0" w:tentative="0">
      <w:start w:val="1"/>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mirrorMargins w:val="1"/>
  <w:bordersDoNotSurroundHeader w:val="1"/>
  <w:bordersDoNotSurroundFooter w:val="1"/>
  <w:documentProtection w:enforcement="0"/>
  <w:defaultTabStop w:val="420"/>
  <w:drawingGridHorizontalSpacing w:val="210"/>
  <w:drawingGridVerticalSpacing w:val="159"/>
  <w:displayHorizontalDrawingGridEvery w:val="1"/>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Y4MzU1OGM0OTQ3MzY2OTA4ODNmYTBmODVmZmZiMjIifQ=="/>
  </w:docVars>
  <w:rsids>
    <w:rsidRoot w:val="00000000"/>
    <w:rsid w:val="000E7B1F"/>
    <w:rsid w:val="01AA1CB5"/>
    <w:rsid w:val="03555A65"/>
    <w:rsid w:val="035B1AD0"/>
    <w:rsid w:val="039B3995"/>
    <w:rsid w:val="03CF6F0E"/>
    <w:rsid w:val="04631FAE"/>
    <w:rsid w:val="04CF6475"/>
    <w:rsid w:val="055F576C"/>
    <w:rsid w:val="06C23B5E"/>
    <w:rsid w:val="075F6EB2"/>
    <w:rsid w:val="08BC647B"/>
    <w:rsid w:val="093D1475"/>
    <w:rsid w:val="093E0EB2"/>
    <w:rsid w:val="09742F12"/>
    <w:rsid w:val="0A6C0264"/>
    <w:rsid w:val="0A7E5DA1"/>
    <w:rsid w:val="0A9C3FE2"/>
    <w:rsid w:val="0B3B3792"/>
    <w:rsid w:val="0DF67C43"/>
    <w:rsid w:val="0FB46F29"/>
    <w:rsid w:val="102E38C6"/>
    <w:rsid w:val="10AC30D2"/>
    <w:rsid w:val="10F42D61"/>
    <w:rsid w:val="112F3D99"/>
    <w:rsid w:val="11B01B7C"/>
    <w:rsid w:val="132A653A"/>
    <w:rsid w:val="136F0290"/>
    <w:rsid w:val="150A39A3"/>
    <w:rsid w:val="1A9E06B1"/>
    <w:rsid w:val="1B940FAB"/>
    <w:rsid w:val="1C855B83"/>
    <w:rsid w:val="1D85657F"/>
    <w:rsid w:val="1DF148B0"/>
    <w:rsid w:val="1E426EBA"/>
    <w:rsid w:val="21394ADE"/>
    <w:rsid w:val="223E7160"/>
    <w:rsid w:val="232E3841"/>
    <w:rsid w:val="236563FA"/>
    <w:rsid w:val="236D4072"/>
    <w:rsid w:val="24470EF8"/>
    <w:rsid w:val="2681079B"/>
    <w:rsid w:val="29D65AD9"/>
    <w:rsid w:val="2A261D85"/>
    <w:rsid w:val="2B772FD2"/>
    <w:rsid w:val="2B7E32D6"/>
    <w:rsid w:val="2BB96EED"/>
    <w:rsid w:val="2BD361B0"/>
    <w:rsid w:val="2BE14912"/>
    <w:rsid w:val="2C5C4A71"/>
    <w:rsid w:val="2D714441"/>
    <w:rsid w:val="2E6F2A7E"/>
    <w:rsid w:val="2E956256"/>
    <w:rsid w:val="2EB66E3D"/>
    <w:rsid w:val="2ECC1AD7"/>
    <w:rsid w:val="2EFF6730"/>
    <w:rsid w:val="2F3E36CD"/>
    <w:rsid w:val="30330D58"/>
    <w:rsid w:val="314C1D3B"/>
    <w:rsid w:val="31F23EBD"/>
    <w:rsid w:val="32CE64C4"/>
    <w:rsid w:val="33462CA0"/>
    <w:rsid w:val="33FF366E"/>
    <w:rsid w:val="33FF7F86"/>
    <w:rsid w:val="345C0152"/>
    <w:rsid w:val="381E08F8"/>
    <w:rsid w:val="38AE7AB1"/>
    <w:rsid w:val="3995342F"/>
    <w:rsid w:val="39C6405E"/>
    <w:rsid w:val="3A5C534F"/>
    <w:rsid w:val="3A783B98"/>
    <w:rsid w:val="3D2E2FD3"/>
    <w:rsid w:val="3D4C3271"/>
    <w:rsid w:val="3F777D79"/>
    <w:rsid w:val="4208603A"/>
    <w:rsid w:val="42905B96"/>
    <w:rsid w:val="43053B89"/>
    <w:rsid w:val="43370708"/>
    <w:rsid w:val="440E10EE"/>
    <w:rsid w:val="44950203"/>
    <w:rsid w:val="46054AA8"/>
    <w:rsid w:val="461D7207"/>
    <w:rsid w:val="47403D8B"/>
    <w:rsid w:val="476C1F1C"/>
    <w:rsid w:val="483B0352"/>
    <w:rsid w:val="487A7803"/>
    <w:rsid w:val="48AC5FF1"/>
    <w:rsid w:val="496D1A21"/>
    <w:rsid w:val="4A38723F"/>
    <w:rsid w:val="4AD115FB"/>
    <w:rsid w:val="4BA12011"/>
    <w:rsid w:val="4BDB1B0D"/>
    <w:rsid w:val="4C684307"/>
    <w:rsid w:val="4E5B12A2"/>
    <w:rsid w:val="50BA48F7"/>
    <w:rsid w:val="51346287"/>
    <w:rsid w:val="51A92CB3"/>
    <w:rsid w:val="52121D8A"/>
    <w:rsid w:val="544900AA"/>
    <w:rsid w:val="54857525"/>
    <w:rsid w:val="54CA318A"/>
    <w:rsid w:val="553D1314"/>
    <w:rsid w:val="554B6730"/>
    <w:rsid w:val="55B53669"/>
    <w:rsid w:val="56647A4C"/>
    <w:rsid w:val="56A31797"/>
    <w:rsid w:val="576C7BF0"/>
    <w:rsid w:val="5A0013FC"/>
    <w:rsid w:val="5A45359B"/>
    <w:rsid w:val="5A4C4641"/>
    <w:rsid w:val="5A963B0E"/>
    <w:rsid w:val="5AAD4841"/>
    <w:rsid w:val="5B6077EF"/>
    <w:rsid w:val="5BF65B68"/>
    <w:rsid w:val="5DC6470A"/>
    <w:rsid w:val="61870689"/>
    <w:rsid w:val="61EC36D7"/>
    <w:rsid w:val="622639C9"/>
    <w:rsid w:val="62B75F59"/>
    <w:rsid w:val="62C52DB1"/>
    <w:rsid w:val="635A6C51"/>
    <w:rsid w:val="63691DC0"/>
    <w:rsid w:val="64F1206D"/>
    <w:rsid w:val="652015A3"/>
    <w:rsid w:val="65C3252A"/>
    <w:rsid w:val="669B1CD2"/>
    <w:rsid w:val="66F50008"/>
    <w:rsid w:val="67A41618"/>
    <w:rsid w:val="682A389E"/>
    <w:rsid w:val="68594AF9"/>
    <w:rsid w:val="68A613C0"/>
    <w:rsid w:val="6C7D068A"/>
    <w:rsid w:val="6CBA23DD"/>
    <w:rsid w:val="6D6F40A2"/>
    <w:rsid w:val="710B743F"/>
    <w:rsid w:val="71864485"/>
    <w:rsid w:val="72A84351"/>
    <w:rsid w:val="73F2766C"/>
    <w:rsid w:val="74253B04"/>
    <w:rsid w:val="743C56EC"/>
    <w:rsid w:val="762A3631"/>
    <w:rsid w:val="762D1373"/>
    <w:rsid w:val="77124BFF"/>
    <w:rsid w:val="77F95F8E"/>
    <w:rsid w:val="78991F5B"/>
    <w:rsid w:val="7A3134C1"/>
    <w:rsid w:val="7C2A1552"/>
    <w:rsid w:val="7C6B2079"/>
    <w:rsid w:val="7C8E41ED"/>
    <w:rsid w:val="7D6A6A08"/>
    <w:rsid w:val="7EB6531E"/>
    <w:rsid w:val="7F857B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qFormat="1" w:uiPriority="39" w:name="toc 4"/>
    <w:lsdException w:uiPriority="39" w:name="toc 5"/>
    <w:lsdException w:qFormat="1"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99" w:semiHidden="0"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0"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5">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6">
    <w:name w:val="heading 2"/>
    <w:basedOn w:val="1"/>
    <w:next w:val="1"/>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7">
    <w:name w:val="heading 3"/>
    <w:basedOn w:val="1"/>
    <w:next w:val="1"/>
    <w:unhideWhenUsed/>
    <w:qFormat/>
    <w:uiPriority w:val="9"/>
    <w:pPr>
      <w:keepNext/>
      <w:keepLines/>
      <w:spacing w:before="260" w:beforeLines="0" w:beforeAutospacing="0" w:after="260" w:afterLines="0" w:afterAutospacing="0" w:line="413" w:lineRule="auto"/>
      <w:outlineLvl w:val="2"/>
    </w:pPr>
    <w:rPr>
      <w:b/>
      <w:sz w:val="32"/>
    </w:rPr>
  </w:style>
  <w:style w:type="paragraph" w:styleId="8">
    <w:name w:val="heading 4"/>
    <w:basedOn w:val="1"/>
    <w:next w:val="1"/>
    <w:link w:val="32"/>
    <w:unhideWhenUsed/>
    <w:qFormat/>
    <w:uiPriority w:val="9"/>
    <w:pPr>
      <w:keepNext/>
      <w:keepLines/>
      <w:spacing w:before="280" w:beforeLines="0" w:beforeAutospacing="0" w:after="290" w:afterLines="0" w:afterAutospacing="0" w:line="372" w:lineRule="auto"/>
      <w:outlineLvl w:val="3"/>
    </w:pPr>
    <w:rPr>
      <w:rFonts w:ascii="Arial" w:hAnsi="Arial" w:eastAsia="黑体"/>
      <w:b/>
      <w:sz w:val="28"/>
    </w:rPr>
  </w:style>
  <w:style w:type="paragraph" w:styleId="9">
    <w:name w:val="heading 5"/>
    <w:basedOn w:val="1"/>
    <w:next w:val="1"/>
    <w:link w:val="35"/>
    <w:unhideWhenUsed/>
    <w:qFormat/>
    <w:uiPriority w:val="9"/>
    <w:pPr>
      <w:keepNext/>
      <w:keepLines/>
      <w:spacing w:before="280" w:beforeLines="0" w:beforeAutospacing="0" w:after="290" w:afterLines="0" w:afterAutospacing="0" w:line="372" w:lineRule="auto"/>
      <w:outlineLvl w:val="4"/>
    </w:pPr>
    <w:rPr>
      <w:b/>
      <w:sz w:val="28"/>
    </w:rPr>
  </w:style>
  <w:style w:type="paragraph" w:styleId="10">
    <w:name w:val="heading 6"/>
    <w:basedOn w:val="1"/>
    <w:next w:val="1"/>
    <w:unhideWhenUsed/>
    <w:qFormat/>
    <w:uiPriority w:val="9"/>
    <w:pPr>
      <w:keepNext/>
      <w:keepLines/>
      <w:spacing w:before="240" w:beforeLines="0" w:beforeAutospacing="0" w:after="64" w:afterLines="0" w:afterAutospacing="0" w:line="317" w:lineRule="auto"/>
      <w:outlineLvl w:val="5"/>
    </w:pPr>
    <w:rPr>
      <w:rFonts w:ascii="Arial" w:hAnsi="Arial" w:eastAsia="黑体"/>
      <w:b/>
      <w:sz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unhideWhenUsed/>
    <w:qFormat/>
    <w:uiPriority w:val="99"/>
    <w:pPr>
      <w:spacing w:after="120" w:line="240" w:lineRule="auto"/>
      <w:ind w:left="420" w:leftChars="200" w:firstLine="420"/>
    </w:pPr>
    <w:rPr>
      <w:rFonts w:eastAsia="宋体"/>
      <w:sz w:val="21"/>
      <w:szCs w:val="24"/>
    </w:rPr>
  </w:style>
  <w:style w:type="paragraph" w:styleId="3">
    <w:name w:val="Body Text Indent"/>
    <w:basedOn w:val="1"/>
    <w:next w:val="4"/>
    <w:qFormat/>
    <w:uiPriority w:val="0"/>
    <w:pPr>
      <w:spacing w:line="360" w:lineRule="auto"/>
      <w:ind w:firstLine="640" w:firstLineChars="200"/>
    </w:pPr>
    <w:rPr>
      <w:rFonts w:eastAsia="仿宋_GB2312"/>
      <w:sz w:val="32"/>
    </w:rPr>
  </w:style>
  <w:style w:type="paragraph" w:customStyle="1" w:styleId="4">
    <w:name w:val="xl37"/>
    <w:basedOn w:val="1"/>
    <w:unhideWhenUsed/>
    <w:qFormat/>
    <w:uiPriority w:val="0"/>
    <w:pPr>
      <w:widowControl/>
      <w:pBdr>
        <w:left w:val="single" w:color="auto" w:sz="8" w:space="0"/>
        <w:right w:val="single" w:color="auto" w:sz="8" w:space="0"/>
      </w:pBdr>
      <w:spacing w:beforeAutospacing="1" w:afterAutospacing="1"/>
      <w:jc w:val="center"/>
    </w:pPr>
    <w:rPr>
      <w:rFonts w:hint="eastAsia" w:hAnsi="Times New Roman"/>
      <w:sz w:val="24"/>
    </w:rPr>
  </w:style>
  <w:style w:type="paragraph" w:styleId="11">
    <w:name w:val="Body Text"/>
    <w:basedOn w:val="1"/>
    <w:next w:val="12"/>
    <w:semiHidden/>
    <w:unhideWhenUsed/>
    <w:qFormat/>
    <w:uiPriority w:val="99"/>
    <w:rPr>
      <w:rFonts w:ascii="Arial" w:hAnsi="Arial" w:eastAsia="Arial" w:cs="Arial"/>
      <w:sz w:val="21"/>
      <w:szCs w:val="21"/>
      <w:lang w:val="en-US" w:eastAsia="en-US" w:bidi="ar-SA"/>
    </w:rPr>
  </w:style>
  <w:style w:type="paragraph" w:styleId="12">
    <w:name w:val="Body Text 2"/>
    <w:basedOn w:val="1"/>
    <w:qFormat/>
    <w:uiPriority w:val="99"/>
    <w:rPr>
      <w:rFonts w:hAnsi="宋体"/>
      <w:sz w:val="28"/>
    </w:rPr>
  </w:style>
  <w:style w:type="paragraph" w:styleId="13">
    <w:name w:val="toc 3"/>
    <w:basedOn w:val="1"/>
    <w:next w:val="1"/>
    <w:semiHidden/>
    <w:unhideWhenUsed/>
    <w:qFormat/>
    <w:uiPriority w:val="39"/>
    <w:pPr>
      <w:ind w:left="840" w:leftChars="400"/>
    </w:pPr>
  </w:style>
  <w:style w:type="paragraph" w:styleId="14">
    <w:name w:val="footer"/>
    <w:basedOn w:val="1"/>
    <w:semiHidden/>
    <w:unhideWhenUsed/>
    <w:qFormat/>
    <w:uiPriority w:val="99"/>
    <w:pPr>
      <w:tabs>
        <w:tab w:val="center" w:pos="4153"/>
        <w:tab w:val="right" w:pos="8306"/>
      </w:tabs>
      <w:snapToGrid w:val="0"/>
      <w:jc w:val="left"/>
    </w:pPr>
    <w:rPr>
      <w:sz w:val="18"/>
    </w:rPr>
  </w:style>
  <w:style w:type="paragraph" w:styleId="15">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6">
    <w:name w:val="toc 1"/>
    <w:basedOn w:val="1"/>
    <w:next w:val="1"/>
    <w:semiHidden/>
    <w:unhideWhenUsed/>
    <w:qFormat/>
    <w:uiPriority w:val="39"/>
  </w:style>
  <w:style w:type="paragraph" w:styleId="17">
    <w:name w:val="toc 4"/>
    <w:basedOn w:val="1"/>
    <w:next w:val="1"/>
    <w:semiHidden/>
    <w:unhideWhenUsed/>
    <w:qFormat/>
    <w:uiPriority w:val="39"/>
    <w:pPr>
      <w:ind w:left="1260" w:leftChars="600"/>
    </w:pPr>
  </w:style>
  <w:style w:type="paragraph" w:styleId="18">
    <w:name w:val="toc 6"/>
    <w:basedOn w:val="1"/>
    <w:next w:val="1"/>
    <w:semiHidden/>
    <w:unhideWhenUsed/>
    <w:qFormat/>
    <w:uiPriority w:val="39"/>
    <w:pPr>
      <w:ind w:left="2100" w:leftChars="1000"/>
    </w:pPr>
  </w:style>
  <w:style w:type="paragraph" w:styleId="19">
    <w:name w:val="toc 2"/>
    <w:basedOn w:val="1"/>
    <w:next w:val="1"/>
    <w:semiHidden/>
    <w:unhideWhenUsed/>
    <w:qFormat/>
    <w:uiPriority w:val="39"/>
    <w:pPr>
      <w:ind w:left="420" w:leftChars="200"/>
    </w:pPr>
  </w:style>
  <w:style w:type="table" w:styleId="21">
    <w:name w:val="Table Grid"/>
    <w:basedOn w:val="2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
    <w:name w:val="Table Normal"/>
    <w:semiHidden/>
    <w:unhideWhenUsed/>
    <w:qFormat/>
    <w:uiPriority w:val="0"/>
    <w:tblPr>
      <w:tblCellMar>
        <w:top w:w="0" w:type="dxa"/>
        <w:left w:w="0" w:type="dxa"/>
        <w:bottom w:w="0" w:type="dxa"/>
        <w:right w:w="0" w:type="dxa"/>
      </w:tblCellMar>
    </w:tblPr>
  </w:style>
  <w:style w:type="paragraph" w:customStyle="1" w:styleId="24">
    <w:name w:val="Table Text"/>
    <w:basedOn w:val="1"/>
    <w:semiHidden/>
    <w:qFormat/>
    <w:uiPriority w:val="0"/>
    <w:rPr>
      <w:rFonts w:ascii="宋体" w:hAnsi="宋体" w:eastAsia="宋体" w:cs="宋体"/>
      <w:sz w:val="20"/>
      <w:szCs w:val="20"/>
      <w:lang w:val="en-US" w:eastAsia="en-US" w:bidi="ar-SA"/>
    </w:rPr>
  </w:style>
  <w:style w:type="paragraph" w:customStyle="1" w:styleId="25">
    <w:name w:val="分类号"/>
    <w:basedOn w:val="1"/>
    <w:qFormat/>
    <w:uiPriority w:val="0"/>
    <w:rPr>
      <w:rFonts w:ascii="仿宋_GB2312" w:hAnsi="Times New Roman" w:eastAsia="仿宋_GB2312" w:cs="Times New Roman"/>
      <w:sz w:val="28"/>
      <w:szCs w:val="28"/>
    </w:rPr>
  </w:style>
  <w:style w:type="paragraph" w:customStyle="1" w:styleId="26">
    <w:name w:val="封面日期"/>
    <w:basedOn w:val="1"/>
    <w:qFormat/>
    <w:uiPriority w:val="0"/>
    <w:pPr>
      <w:jc w:val="center"/>
    </w:pPr>
    <w:rPr>
      <w:rFonts w:ascii="黑体" w:hAnsi="Times New Roman" w:eastAsia="黑体" w:cs="Times New Roman"/>
      <w:sz w:val="32"/>
      <w:szCs w:val="32"/>
    </w:rPr>
  </w:style>
  <w:style w:type="paragraph" w:customStyle="1" w:styleId="27">
    <w:name w:val="论文标题"/>
    <w:basedOn w:val="1"/>
    <w:qFormat/>
    <w:uiPriority w:val="0"/>
    <w:pPr>
      <w:jc w:val="center"/>
    </w:pPr>
    <w:rPr>
      <w:rFonts w:ascii="Times New Roman" w:hAnsi="Times New Roman" w:eastAsia="楷体_GB2312" w:cs="Times New Roman"/>
      <w:b/>
      <w:kern w:val="36"/>
      <w:sz w:val="52"/>
      <w:szCs w:val="52"/>
    </w:rPr>
  </w:style>
  <w:style w:type="paragraph" w:customStyle="1" w:styleId="28">
    <w:name w:val="硕士学位论文"/>
    <w:basedOn w:val="1"/>
    <w:qFormat/>
    <w:uiPriority w:val="0"/>
    <w:pPr>
      <w:spacing w:before="240"/>
      <w:jc w:val="center"/>
    </w:pPr>
    <w:rPr>
      <w:rFonts w:ascii="Times New Roman" w:hAnsi="Times New Roman" w:eastAsia="宋体" w:cs="Times New Roman"/>
      <w:sz w:val="44"/>
      <w:szCs w:val="44"/>
    </w:rPr>
  </w:style>
  <w:style w:type="paragraph" w:customStyle="1" w:styleId="29">
    <w:name w:val="研究生姓名"/>
    <w:basedOn w:val="1"/>
    <w:qFormat/>
    <w:uiPriority w:val="0"/>
    <w:pPr>
      <w:ind w:firstLine="700" w:firstLineChars="700"/>
    </w:pPr>
    <w:rPr>
      <w:rFonts w:ascii="Times New Roman" w:hAnsi="Times New Roman" w:eastAsia="宋体" w:cs="Times New Roman"/>
      <w:sz w:val="28"/>
      <w:szCs w:val="28"/>
    </w:rPr>
  </w:style>
  <w:style w:type="paragraph" w:customStyle="1" w:styleId="30">
    <w:name w:val="WPSOffice手动目录 1"/>
    <w:qFormat/>
    <w:uiPriority w:val="0"/>
    <w:pPr>
      <w:ind w:leftChars="0"/>
    </w:pPr>
    <w:rPr>
      <w:rFonts w:asciiTheme="minorHAnsi" w:hAnsiTheme="minorHAnsi" w:eastAsiaTheme="minorEastAsia" w:cstheme="minorBidi"/>
      <w:sz w:val="20"/>
      <w:szCs w:val="20"/>
    </w:rPr>
  </w:style>
  <w:style w:type="paragraph" w:customStyle="1" w:styleId="31">
    <w:name w:val="WPSOffice手动目录 2"/>
    <w:qFormat/>
    <w:uiPriority w:val="0"/>
    <w:pPr>
      <w:ind w:leftChars="200"/>
    </w:pPr>
    <w:rPr>
      <w:rFonts w:asciiTheme="minorHAnsi" w:hAnsiTheme="minorHAnsi" w:eastAsiaTheme="minorEastAsia" w:cstheme="minorBidi"/>
      <w:sz w:val="20"/>
      <w:szCs w:val="20"/>
    </w:rPr>
  </w:style>
  <w:style w:type="character" w:customStyle="1" w:styleId="32">
    <w:name w:val="标题 4 Char"/>
    <w:link w:val="8"/>
    <w:qFormat/>
    <w:uiPriority w:val="0"/>
    <w:rPr>
      <w:rFonts w:ascii="Arial" w:hAnsi="Arial" w:eastAsia="黑体"/>
      <w:b/>
      <w:sz w:val="28"/>
    </w:rPr>
  </w:style>
  <w:style w:type="paragraph" w:styleId="33">
    <w:name w:val="List Paragraph"/>
    <w:basedOn w:val="1"/>
    <w:qFormat/>
    <w:uiPriority w:val="1"/>
    <w:pPr>
      <w:ind w:left="1372" w:hanging="703"/>
    </w:pPr>
  </w:style>
  <w:style w:type="paragraph" w:customStyle="1" w:styleId="34">
    <w:name w:val="WPSOffice手动目录 3"/>
    <w:qFormat/>
    <w:uiPriority w:val="0"/>
    <w:pPr>
      <w:ind w:leftChars="400"/>
    </w:pPr>
    <w:rPr>
      <w:rFonts w:asciiTheme="minorHAnsi" w:hAnsiTheme="minorHAnsi" w:eastAsiaTheme="minorEastAsia" w:cstheme="minorBidi"/>
      <w:sz w:val="20"/>
      <w:szCs w:val="20"/>
    </w:rPr>
  </w:style>
  <w:style w:type="character" w:customStyle="1" w:styleId="35">
    <w:name w:val="标题 5 Char"/>
    <w:link w:val="9"/>
    <w:qFormat/>
    <w:uiPriority w:val="9"/>
    <w:rPr>
      <w:b/>
      <w:sz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png"/><Relationship Id="rId15" Type="http://schemas.openxmlformats.org/officeDocument/2006/relationships/image" Target="media/image5.jpeg"/><Relationship Id="rId14" Type="http://schemas.openxmlformats.org/officeDocument/2006/relationships/image" Target="media/image4.pn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sectNamePr val="lengthwise1"/>
      <sectRole val="1"/>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27</Words>
  <Characters>160</Characters>
  <Lines>1</Lines>
  <Paragraphs>1</Paragraphs>
  <TotalTime>6</TotalTime>
  <ScaleCrop>false</ScaleCrop>
  <LinksUpToDate>false</LinksUpToDate>
  <CharactersWithSpaces>186</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2019-12-26T09:26:00Z</dcterms:created>
  <dc:creator>xiaofei li</dc:creator>
  <cp:lastModifiedBy>1</cp:lastModifiedBy>
  <dcterms:modified xsi:type="dcterms:W3CDTF">2023-09-20T01:47:04Z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767D0FEC62894135B1F83BB7F064C416_13</vt:lpwstr>
  </property>
</Properties>
</file>